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B692" w14:textId="2A2E70E1" w:rsidR="0010572D" w:rsidRPr="003B5A55" w:rsidRDefault="0010572D">
      <w:pPr>
        <w:rPr>
          <w:sz w:val="21"/>
          <w:szCs w:val="21"/>
          <w:lang w:val="ro-RO"/>
        </w:rPr>
      </w:pPr>
    </w:p>
    <w:p w14:paraId="3A00D356" w14:textId="77777777" w:rsidR="00887551" w:rsidRPr="003B5A55" w:rsidRDefault="00887551" w:rsidP="00887551">
      <w:pPr>
        <w:pStyle w:val="Heading1"/>
        <w:spacing w:before="29"/>
        <w:ind w:left="2801" w:right="2953"/>
        <w:jc w:val="center"/>
        <w:rPr>
          <w:sz w:val="21"/>
          <w:szCs w:val="21"/>
          <w:lang w:val="ro-RO"/>
        </w:rPr>
      </w:pPr>
      <w:bookmarkStart w:id="0" w:name="Allurion_Assurance_Plus_Warranty_Program"/>
      <w:bookmarkEnd w:id="0"/>
      <w:r w:rsidRPr="003B5A55">
        <w:rPr>
          <w:sz w:val="21"/>
          <w:szCs w:val="21"/>
          <w:lang w:val="ro-RO"/>
        </w:rPr>
        <w:t>Programul de Garanție Allurion</w:t>
      </w:r>
    </w:p>
    <w:p w14:paraId="4CB84AFB" w14:textId="77777777" w:rsidR="00F81AAD" w:rsidRPr="003B5A55" w:rsidRDefault="004B0F2C" w:rsidP="00887551">
      <w:pPr>
        <w:pStyle w:val="Heading1"/>
        <w:spacing w:before="29"/>
        <w:ind w:left="2801" w:right="2953"/>
        <w:jc w:val="center"/>
        <w:rPr>
          <w:sz w:val="21"/>
          <w:szCs w:val="21"/>
          <w:lang w:val="ro-RO"/>
        </w:rPr>
      </w:pPr>
      <w:r w:rsidRPr="003B5A55">
        <w:rPr>
          <w:spacing w:val="-6"/>
          <w:sz w:val="21"/>
          <w:szCs w:val="21"/>
          <w:lang w:val="ro-RO"/>
        </w:rPr>
        <w:t xml:space="preserve"> </w:t>
      </w:r>
      <w:r w:rsidRPr="003B5A55">
        <w:rPr>
          <w:sz w:val="21"/>
          <w:szCs w:val="21"/>
          <w:lang w:val="ro-RO"/>
        </w:rPr>
        <w:t>Assurance Plus</w:t>
      </w:r>
    </w:p>
    <w:p w14:paraId="552156A0" w14:textId="77777777" w:rsidR="00F81AAD" w:rsidRPr="003B5A55" w:rsidRDefault="00F81AAD">
      <w:pPr>
        <w:pStyle w:val="BodyText"/>
        <w:spacing w:before="10"/>
        <w:rPr>
          <w:b/>
          <w:sz w:val="18"/>
          <w:szCs w:val="21"/>
          <w:lang w:val="ro-RO"/>
        </w:rPr>
      </w:pPr>
    </w:p>
    <w:p w14:paraId="7B0510FD" w14:textId="77777777" w:rsidR="00F81AAD" w:rsidRPr="003B5A55" w:rsidRDefault="00887551">
      <w:pPr>
        <w:pStyle w:val="BodyText"/>
        <w:ind w:left="220"/>
        <w:rPr>
          <w:sz w:val="21"/>
          <w:szCs w:val="21"/>
          <w:lang w:val="ro-RO"/>
        </w:rPr>
      </w:pPr>
      <w:r w:rsidRPr="003B5A55">
        <w:rPr>
          <w:sz w:val="21"/>
          <w:szCs w:val="21"/>
          <w:lang w:val="ro-RO"/>
        </w:rPr>
        <w:t>Acest document descrie Programul de garanție Allurion Assurance Plus pentru sistemul Elipse Balon Gastric, începând cu 1 ianuarie 2021. Garanția este descrisă în tabelul de mai jos:</w:t>
      </w:r>
    </w:p>
    <w:p w14:paraId="0C69A416" w14:textId="77777777" w:rsidR="00F81AAD" w:rsidRPr="003B5A55" w:rsidRDefault="00F81AAD">
      <w:pPr>
        <w:pStyle w:val="BodyText"/>
        <w:rPr>
          <w:sz w:val="18"/>
          <w:szCs w:val="21"/>
          <w:lang w:val="ro-RO"/>
        </w:rPr>
      </w:pPr>
    </w:p>
    <w:p w14:paraId="4BC8A24E" w14:textId="77777777" w:rsidR="00F81AAD" w:rsidRPr="003B5A55" w:rsidRDefault="00F81AAD">
      <w:pPr>
        <w:pStyle w:val="BodyText"/>
        <w:rPr>
          <w:sz w:val="21"/>
          <w:szCs w:val="21"/>
          <w:lang w:val="ro-RO"/>
        </w:rPr>
      </w:pPr>
    </w:p>
    <w:tbl>
      <w:tblPr>
        <w:tblW w:w="0" w:type="auto"/>
        <w:tblInd w:w="253"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2628"/>
        <w:gridCol w:w="6886"/>
      </w:tblGrid>
      <w:tr w:rsidR="00F81AAD" w:rsidRPr="003B5A55" w14:paraId="3D3BE52B" w14:textId="77777777">
        <w:trPr>
          <w:trHeight w:val="501"/>
        </w:trPr>
        <w:tc>
          <w:tcPr>
            <w:tcW w:w="2628" w:type="dxa"/>
            <w:tcBorders>
              <w:top w:val="nil"/>
              <w:left w:val="nil"/>
              <w:right w:val="single" w:sz="8" w:space="0" w:color="FFFFFF"/>
            </w:tcBorders>
            <w:shd w:val="clear" w:color="auto" w:fill="B8CCE2"/>
          </w:tcPr>
          <w:p w14:paraId="6B075AA8" w14:textId="77777777" w:rsidR="00F81AAD" w:rsidRPr="003B5A55" w:rsidRDefault="00887551" w:rsidP="00887551">
            <w:pPr>
              <w:pStyle w:val="TableParagraph"/>
              <w:spacing w:before="18"/>
              <w:rPr>
                <w:b/>
                <w:sz w:val="20"/>
                <w:szCs w:val="21"/>
                <w:lang w:val="ro-RO"/>
              </w:rPr>
            </w:pPr>
            <w:r w:rsidRPr="003B5A55">
              <w:rPr>
                <w:b/>
                <w:sz w:val="20"/>
                <w:szCs w:val="21"/>
                <w:lang w:val="ro-RO"/>
              </w:rPr>
              <w:t>Eveniment acoperit</w:t>
            </w:r>
          </w:p>
        </w:tc>
        <w:tc>
          <w:tcPr>
            <w:tcW w:w="6886" w:type="dxa"/>
            <w:tcBorders>
              <w:top w:val="nil"/>
              <w:left w:val="single" w:sz="8" w:space="0" w:color="FFFFFF"/>
              <w:right w:val="nil"/>
            </w:tcBorders>
            <w:shd w:val="clear" w:color="auto" w:fill="B8CCE2"/>
          </w:tcPr>
          <w:p w14:paraId="142DD472" w14:textId="77777777" w:rsidR="00F81AAD" w:rsidRPr="003B5A55" w:rsidRDefault="00887551" w:rsidP="00887551">
            <w:pPr>
              <w:pStyle w:val="TableParagraph"/>
              <w:spacing w:before="18"/>
              <w:rPr>
                <w:b/>
                <w:sz w:val="20"/>
                <w:szCs w:val="21"/>
                <w:lang w:val="ro-RO"/>
              </w:rPr>
            </w:pPr>
            <w:r w:rsidRPr="003B5A55">
              <w:rPr>
                <w:b/>
                <w:sz w:val="20"/>
                <w:szCs w:val="21"/>
                <w:lang w:val="ro-RO"/>
              </w:rPr>
              <w:t xml:space="preserve">Program de garanție </w:t>
            </w:r>
          </w:p>
        </w:tc>
      </w:tr>
      <w:tr w:rsidR="00F81AAD" w:rsidRPr="003B5A55" w14:paraId="7CEBDDBF" w14:textId="77777777">
        <w:trPr>
          <w:trHeight w:val="966"/>
        </w:trPr>
        <w:tc>
          <w:tcPr>
            <w:tcW w:w="2628" w:type="dxa"/>
            <w:tcBorders>
              <w:left w:val="nil"/>
              <w:bottom w:val="single" w:sz="24" w:space="0" w:color="FFFFFF"/>
              <w:right w:val="single" w:sz="8" w:space="0" w:color="FFFFFF"/>
            </w:tcBorders>
            <w:shd w:val="clear" w:color="auto" w:fill="B8CCE2"/>
          </w:tcPr>
          <w:p w14:paraId="3DD36E99" w14:textId="77777777" w:rsidR="00F81AAD" w:rsidRPr="003B5A55" w:rsidRDefault="00887551" w:rsidP="00887551">
            <w:pPr>
              <w:pStyle w:val="TableParagraph"/>
              <w:ind w:left="0" w:right="216"/>
              <w:rPr>
                <w:b/>
                <w:sz w:val="20"/>
                <w:szCs w:val="21"/>
                <w:lang w:val="ro-RO"/>
              </w:rPr>
            </w:pPr>
            <w:r w:rsidRPr="003B5A55">
              <w:rPr>
                <w:b/>
                <w:sz w:val="20"/>
                <w:szCs w:val="21"/>
                <w:lang w:val="ro-RO"/>
              </w:rPr>
              <w:t>Deflația spontană, prematură a balonului înainte de 90 de zile</w:t>
            </w:r>
          </w:p>
        </w:tc>
        <w:tc>
          <w:tcPr>
            <w:tcW w:w="6886" w:type="dxa"/>
            <w:tcBorders>
              <w:left w:val="single" w:sz="8" w:space="0" w:color="FFFFFF"/>
              <w:bottom w:val="single" w:sz="24" w:space="0" w:color="FFFFFF"/>
              <w:right w:val="nil"/>
            </w:tcBorders>
            <w:shd w:val="clear" w:color="auto" w:fill="B8CCE2"/>
          </w:tcPr>
          <w:p w14:paraId="7346C476" w14:textId="0D50A296" w:rsidR="00F81AAD" w:rsidRPr="003B5A55" w:rsidRDefault="004B0F2C">
            <w:pPr>
              <w:pStyle w:val="TableParagraph"/>
              <w:spacing w:before="3"/>
              <w:ind w:right="98"/>
              <w:jc w:val="both"/>
              <w:rPr>
                <w:sz w:val="20"/>
                <w:szCs w:val="21"/>
                <w:lang w:val="ro-RO"/>
              </w:rPr>
            </w:pPr>
            <w:r w:rsidRPr="003B5A55">
              <w:rPr>
                <w:sz w:val="20"/>
                <w:szCs w:val="21"/>
                <w:lang w:val="ro-RO"/>
              </w:rPr>
              <w:t xml:space="preserve">Produs de înlocuire trimis medicului pacientului fără </w:t>
            </w:r>
            <w:r w:rsidR="009B65DD" w:rsidRPr="003B5A55">
              <w:rPr>
                <w:sz w:val="20"/>
                <w:szCs w:val="21"/>
                <w:lang w:val="ro-RO"/>
              </w:rPr>
              <w:t xml:space="preserve">costuri </w:t>
            </w:r>
            <w:r w:rsidRPr="003B5A55">
              <w:rPr>
                <w:sz w:val="20"/>
                <w:szCs w:val="21"/>
                <w:lang w:val="ro-RO"/>
              </w:rPr>
              <w:t xml:space="preserve">pentru pacient sau medic. Pacientul și / sau medicul sunt responsabili pentru orice costuri asociate procedurii de </w:t>
            </w:r>
            <w:r w:rsidR="009B65DD" w:rsidRPr="003B5A55">
              <w:rPr>
                <w:sz w:val="20"/>
                <w:szCs w:val="21"/>
                <w:lang w:val="ro-RO"/>
              </w:rPr>
              <w:t>plasare</w:t>
            </w:r>
            <w:r w:rsidRPr="003B5A55">
              <w:rPr>
                <w:sz w:val="20"/>
                <w:szCs w:val="21"/>
                <w:lang w:val="ro-RO"/>
              </w:rPr>
              <w:t>.</w:t>
            </w:r>
          </w:p>
        </w:tc>
      </w:tr>
      <w:tr w:rsidR="00F81AAD" w:rsidRPr="003B5A55" w14:paraId="03F09069" w14:textId="77777777">
        <w:trPr>
          <w:trHeight w:val="1519"/>
        </w:trPr>
        <w:tc>
          <w:tcPr>
            <w:tcW w:w="2628" w:type="dxa"/>
            <w:tcBorders>
              <w:top w:val="single" w:sz="24" w:space="0" w:color="FFFFFF"/>
              <w:left w:val="nil"/>
              <w:bottom w:val="single" w:sz="24" w:space="0" w:color="FFFFFF"/>
              <w:right w:val="single" w:sz="8" w:space="0" w:color="FFFFFF"/>
            </w:tcBorders>
            <w:shd w:val="clear" w:color="auto" w:fill="B8CCE2"/>
          </w:tcPr>
          <w:p w14:paraId="7FA6E464" w14:textId="77777777" w:rsidR="00F81AAD" w:rsidRPr="003B5A55" w:rsidRDefault="00887551" w:rsidP="00887551">
            <w:pPr>
              <w:pStyle w:val="TableParagraph"/>
              <w:spacing w:before="1"/>
              <w:ind w:left="0" w:right="493"/>
              <w:rPr>
                <w:b/>
                <w:sz w:val="20"/>
                <w:szCs w:val="21"/>
                <w:lang w:val="ro-RO"/>
              </w:rPr>
            </w:pPr>
            <w:r w:rsidRPr="003B5A55">
              <w:rPr>
                <w:b/>
                <w:sz w:val="20"/>
                <w:szCs w:val="21"/>
                <w:lang w:val="ro-RO"/>
              </w:rPr>
              <w:t>Hiperinflația ce necesită îndepărtarea endoscopică</w:t>
            </w:r>
          </w:p>
        </w:tc>
        <w:tc>
          <w:tcPr>
            <w:tcW w:w="6886" w:type="dxa"/>
            <w:tcBorders>
              <w:top w:val="single" w:sz="24" w:space="0" w:color="FFFFFF"/>
              <w:left w:val="single" w:sz="8" w:space="0" w:color="FFFFFF"/>
              <w:bottom w:val="single" w:sz="24" w:space="0" w:color="FFFFFF"/>
              <w:right w:val="nil"/>
            </w:tcBorders>
            <w:shd w:val="clear" w:color="auto" w:fill="B8CCE2"/>
          </w:tcPr>
          <w:p w14:paraId="4094C1D8" w14:textId="77777777" w:rsidR="00F81AAD" w:rsidRPr="003B5A55" w:rsidRDefault="004B0F2C">
            <w:pPr>
              <w:pStyle w:val="TableParagraph"/>
              <w:spacing w:before="16"/>
              <w:jc w:val="both"/>
              <w:rPr>
                <w:sz w:val="20"/>
                <w:szCs w:val="21"/>
                <w:lang w:val="ro-RO"/>
              </w:rPr>
            </w:pPr>
            <w:r w:rsidRPr="003B5A55">
              <w:rPr>
                <w:sz w:val="20"/>
                <w:szCs w:val="21"/>
                <w:lang w:val="ro-RO"/>
              </w:rPr>
              <w:t>Asistență financiară de până la 8.000 USD.</w:t>
            </w:r>
          </w:p>
          <w:p w14:paraId="25DD5C81" w14:textId="77777777" w:rsidR="00F81AAD" w:rsidRPr="003B5A55" w:rsidRDefault="00F81AAD">
            <w:pPr>
              <w:pStyle w:val="TableParagraph"/>
              <w:spacing w:before="7"/>
              <w:ind w:left="0"/>
              <w:rPr>
                <w:szCs w:val="21"/>
                <w:lang w:val="ro-RO"/>
              </w:rPr>
            </w:pPr>
          </w:p>
          <w:p w14:paraId="38327CF5" w14:textId="2DED774A" w:rsidR="00F81AAD" w:rsidRPr="003B5A55" w:rsidRDefault="004B0F2C">
            <w:pPr>
              <w:pStyle w:val="TableParagraph"/>
              <w:ind w:right="99"/>
              <w:jc w:val="both"/>
              <w:rPr>
                <w:sz w:val="20"/>
                <w:szCs w:val="21"/>
                <w:lang w:val="ro-RO"/>
              </w:rPr>
            </w:pPr>
            <w:r w:rsidRPr="003B5A55">
              <w:rPr>
                <w:spacing w:val="-1"/>
                <w:sz w:val="20"/>
                <w:szCs w:val="21"/>
                <w:lang w:val="ro-RO"/>
              </w:rPr>
              <w:t xml:space="preserve">Allurion va plăti </w:t>
            </w:r>
            <w:r w:rsidR="009B65DD" w:rsidRPr="003B5A55">
              <w:rPr>
                <w:spacing w:val="-1"/>
                <w:sz w:val="20"/>
                <w:szCs w:val="21"/>
                <w:lang w:val="ro-RO"/>
              </w:rPr>
              <w:t xml:space="preserve">cheltuielile </w:t>
            </w:r>
            <w:r w:rsidRPr="003B5A55">
              <w:rPr>
                <w:sz w:val="20"/>
                <w:szCs w:val="21"/>
                <w:lang w:val="ro-RO"/>
              </w:rPr>
              <w:t>de procedură, cheltuieli</w:t>
            </w:r>
            <w:r w:rsidR="004A0A47" w:rsidRPr="003B5A55">
              <w:rPr>
                <w:sz w:val="20"/>
                <w:szCs w:val="21"/>
                <w:lang w:val="ro-RO"/>
              </w:rPr>
              <w:t>le</w:t>
            </w:r>
            <w:r w:rsidRPr="003B5A55">
              <w:rPr>
                <w:sz w:val="20"/>
                <w:szCs w:val="21"/>
                <w:lang w:val="ro-RO"/>
              </w:rPr>
              <w:t xml:space="preserve"> </w:t>
            </w:r>
            <w:r w:rsidR="004A0A47" w:rsidRPr="003B5A55">
              <w:rPr>
                <w:sz w:val="20"/>
                <w:szCs w:val="21"/>
                <w:lang w:val="ro-RO"/>
              </w:rPr>
              <w:t>pentru</w:t>
            </w:r>
            <w:r w:rsidRPr="003B5A55">
              <w:rPr>
                <w:sz w:val="20"/>
                <w:szCs w:val="21"/>
                <w:lang w:val="ro-RO"/>
              </w:rPr>
              <w:t xml:space="preserve"> raze X și cheltuieli</w:t>
            </w:r>
            <w:r w:rsidR="004A0A47" w:rsidRPr="003B5A55">
              <w:rPr>
                <w:sz w:val="20"/>
                <w:szCs w:val="21"/>
                <w:lang w:val="ro-RO"/>
              </w:rPr>
              <w:t>le</w:t>
            </w:r>
            <w:r w:rsidRPr="003B5A55">
              <w:rPr>
                <w:sz w:val="20"/>
                <w:szCs w:val="21"/>
                <w:lang w:val="ro-RO"/>
              </w:rPr>
              <w:t xml:space="preserve"> endoscopice legate direct de procedura de reviz</w:t>
            </w:r>
            <w:r w:rsidR="004A0A47" w:rsidRPr="003B5A55">
              <w:rPr>
                <w:sz w:val="20"/>
                <w:szCs w:val="21"/>
                <w:lang w:val="ro-RO"/>
              </w:rPr>
              <w:t>ie</w:t>
            </w:r>
            <w:r w:rsidRPr="003B5A55">
              <w:rPr>
                <w:sz w:val="20"/>
                <w:szCs w:val="21"/>
                <w:lang w:val="ro-RO"/>
              </w:rPr>
              <w:t xml:space="preserve"> și care nu sunt acoperite de asigurare, până la o sumă totală maximă de 8.000 USD.</w:t>
            </w:r>
          </w:p>
        </w:tc>
      </w:tr>
      <w:tr w:rsidR="00F81AAD" w:rsidRPr="003B5A55" w14:paraId="36CC6681" w14:textId="77777777">
        <w:trPr>
          <w:trHeight w:val="1519"/>
        </w:trPr>
        <w:tc>
          <w:tcPr>
            <w:tcW w:w="2628" w:type="dxa"/>
            <w:tcBorders>
              <w:top w:val="single" w:sz="24" w:space="0" w:color="FFFFFF"/>
              <w:left w:val="nil"/>
              <w:bottom w:val="single" w:sz="24" w:space="0" w:color="FFFFFF"/>
              <w:right w:val="single" w:sz="8" w:space="0" w:color="FFFFFF"/>
            </w:tcBorders>
            <w:shd w:val="clear" w:color="auto" w:fill="B8CCE2"/>
          </w:tcPr>
          <w:p w14:paraId="3EE0B19C" w14:textId="77777777" w:rsidR="00F81AAD" w:rsidRPr="003B5A55" w:rsidRDefault="004B0F2C" w:rsidP="00887551">
            <w:pPr>
              <w:pStyle w:val="TableParagraph"/>
              <w:spacing w:before="1"/>
              <w:ind w:left="0"/>
              <w:rPr>
                <w:b/>
                <w:sz w:val="20"/>
                <w:szCs w:val="21"/>
                <w:lang w:val="ro-RO"/>
              </w:rPr>
            </w:pPr>
            <w:r w:rsidRPr="003B5A55">
              <w:rPr>
                <w:b/>
                <w:sz w:val="20"/>
                <w:szCs w:val="21"/>
                <w:lang w:val="ro-RO"/>
              </w:rPr>
              <w:t>Pancreatită acută</w:t>
            </w:r>
          </w:p>
        </w:tc>
        <w:tc>
          <w:tcPr>
            <w:tcW w:w="6886" w:type="dxa"/>
            <w:tcBorders>
              <w:top w:val="single" w:sz="24" w:space="0" w:color="FFFFFF"/>
              <w:left w:val="single" w:sz="8" w:space="0" w:color="FFFFFF"/>
              <w:bottom w:val="single" w:sz="24" w:space="0" w:color="FFFFFF"/>
              <w:right w:val="nil"/>
            </w:tcBorders>
            <w:shd w:val="clear" w:color="auto" w:fill="B8CCE2"/>
          </w:tcPr>
          <w:p w14:paraId="4D0A809E" w14:textId="77777777" w:rsidR="00F81AAD" w:rsidRPr="003B5A55" w:rsidRDefault="004B0F2C">
            <w:pPr>
              <w:pStyle w:val="TableParagraph"/>
              <w:spacing w:before="16"/>
              <w:jc w:val="both"/>
              <w:rPr>
                <w:sz w:val="20"/>
                <w:szCs w:val="21"/>
                <w:lang w:val="ro-RO"/>
              </w:rPr>
            </w:pPr>
            <w:r w:rsidRPr="003B5A55">
              <w:rPr>
                <w:sz w:val="20"/>
                <w:szCs w:val="21"/>
                <w:lang w:val="ro-RO"/>
              </w:rPr>
              <w:t>Asistență financiară de până la 8.000 USD.</w:t>
            </w:r>
          </w:p>
          <w:p w14:paraId="26F50A29" w14:textId="77777777" w:rsidR="00F81AAD" w:rsidRPr="003B5A55" w:rsidRDefault="00F81AAD">
            <w:pPr>
              <w:pStyle w:val="TableParagraph"/>
              <w:spacing w:before="7"/>
              <w:ind w:left="0"/>
              <w:rPr>
                <w:szCs w:val="21"/>
                <w:lang w:val="ro-RO"/>
              </w:rPr>
            </w:pPr>
          </w:p>
          <w:p w14:paraId="21939BCA" w14:textId="156867C6" w:rsidR="00F81AAD" w:rsidRPr="003B5A55" w:rsidRDefault="004B0F2C">
            <w:pPr>
              <w:pStyle w:val="TableParagraph"/>
              <w:ind w:right="99"/>
              <w:jc w:val="both"/>
              <w:rPr>
                <w:sz w:val="20"/>
                <w:szCs w:val="21"/>
                <w:lang w:val="ro-RO"/>
              </w:rPr>
            </w:pPr>
            <w:r w:rsidRPr="003B5A55">
              <w:rPr>
                <w:spacing w:val="-1"/>
                <w:sz w:val="20"/>
                <w:szCs w:val="21"/>
                <w:lang w:val="ro-RO"/>
              </w:rPr>
              <w:t xml:space="preserve">Allurion va plăti </w:t>
            </w:r>
            <w:r w:rsidR="004A0A47" w:rsidRPr="003B5A55">
              <w:rPr>
                <w:spacing w:val="-1"/>
                <w:sz w:val="20"/>
                <w:szCs w:val="21"/>
                <w:lang w:val="ro-RO"/>
              </w:rPr>
              <w:t>cheltuielile</w:t>
            </w:r>
            <w:r w:rsidRPr="003B5A55">
              <w:rPr>
                <w:sz w:val="20"/>
                <w:szCs w:val="21"/>
                <w:lang w:val="ro-RO"/>
              </w:rPr>
              <w:t xml:space="preserve"> de procedură, cheltuieli</w:t>
            </w:r>
            <w:r w:rsidR="004A0A47" w:rsidRPr="003B5A55">
              <w:rPr>
                <w:sz w:val="20"/>
                <w:szCs w:val="21"/>
                <w:lang w:val="ro-RO"/>
              </w:rPr>
              <w:t>le</w:t>
            </w:r>
            <w:r w:rsidRPr="003B5A55">
              <w:rPr>
                <w:sz w:val="20"/>
                <w:szCs w:val="21"/>
                <w:lang w:val="ro-RO"/>
              </w:rPr>
              <w:t xml:space="preserve"> </w:t>
            </w:r>
            <w:r w:rsidR="004A0A47" w:rsidRPr="003B5A55">
              <w:rPr>
                <w:sz w:val="20"/>
                <w:szCs w:val="21"/>
                <w:lang w:val="ro-RO"/>
              </w:rPr>
              <w:t xml:space="preserve">pentru </w:t>
            </w:r>
            <w:r w:rsidRPr="003B5A55">
              <w:rPr>
                <w:sz w:val="20"/>
                <w:szCs w:val="21"/>
                <w:lang w:val="ro-RO"/>
              </w:rPr>
              <w:t>raze X și cheltuieli</w:t>
            </w:r>
            <w:r w:rsidR="004A0A47" w:rsidRPr="003B5A55">
              <w:rPr>
                <w:sz w:val="20"/>
                <w:szCs w:val="21"/>
                <w:lang w:val="ro-RO"/>
              </w:rPr>
              <w:t>le</w:t>
            </w:r>
            <w:r w:rsidRPr="003B5A55">
              <w:rPr>
                <w:sz w:val="20"/>
                <w:szCs w:val="21"/>
                <w:lang w:val="ro-RO"/>
              </w:rPr>
              <w:t xml:space="preserve"> endoscopice legate direct de procedura de reviz</w:t>
            </w:r>
            <w:r w:rsidR="004A0A47" w:rsidRPr="003B5A55">
              <w:rPr>
                <w:sz w:val="20"/>
                <w:szCs w:val="21"/>
                <w:lang w:val="ro-RO"/>
              </w:rPr>
              <w:t>ie</w:t>
            </w:r>
            <w:r w:rsidRPr="003B5A55">
              <w:rPr>
                <w:sz w:val="20"/>
                <w:szCs w:val="21"/>
                <w:lang w:val="ro-RO"/>
              </w:rPr>
              <w:t xml:space="preserve"> și care nu sunt acoperite de asigurare, până la o sumă totală maximă de 8.000 USD.</w:t>
            </w:r>
          </w:p>
        </w:tc>
      </w:tr>
      <w:tr w:rsidR="00F81AAD" w:rsidRPr="003B5A55" w14:paraId="7C28F068" w14:textId="77777777">
        <w:trPr>
          <w:trHeight w:val="1519"/>
        </w:trPr>
        <w:tc>
          <w:tcPr>
            <w:tcW w:w="2628" w:type="dxa"/>
            <w:tcBorders>
              <w:top w:val="single" w:sz="24" w:space="0" w:color="FFFFFF"/>
              <w:left w:val="nil"/>
              <w:bottom w:val="single" w:sz="24" w:space="0" w:color="FFFFFF"/>
              <w:right w:val="single" w:sz="8" w:space="0" w:color="FFFFFF"/>
            </w:tcBorders>
            <w:shd w:val="clear" w:color="auto" w:fill="B8CCE2"/>
          </w:tcPr>
          <w:p w14:paraId="5A853FB3" w14:textId="2A5ED22E" w:rsidR="00F81AAD" w:rsidRPr="003B5A55" w:rsidRDefault="00887551" w:rsidP="00887551">
            <w:pPr>
              <w:pStyle w:val="TableParagraph"/>
              <w:spacing w:before="1"/>
              <w:ind w:left="0"/>
              <w:rPr>
                <w:b/>
                <w:sz w:val="18"/>
                <w:szCs w:val="21"/>
                <w:lang w:val="ro-RO"/>
              </w:rPr>
            </w:pPr>
            <w:r w:rsidRPr="003B5A55">
              <w:rPr>
                <w:b/>
                <w:sz w:val="18"/>
                <w:szCs w:val="21"/>
                <w:lang w:val="ro-RO"/>
              </w:rPr>
              <w:t>Perforație gastrointestinală (GI)</w:t>
            </w:r>
          </w:p>
        </w:tc>
        <w:tc>
          <w:tcPr>
            <w:tcW w:w="6886" w:type="dxa"/>
            <w:tcBorders>
              <w:top w:val="single" w:sz="24" w:space="0" w:color="FFFFFF"/>
              <w:left w:val="single" w:sz="8" w:space="0" w:color="FFFFFF"/>
              <w:bottom w:val="single" w:sz="24" w:space="0" w:color="FFFFFF"/>
              <w:right w:val="nil"/>
            </w:tcBorders>
            <w:shd w:val="clear" w:color="auto" w:fill="B8CCE2"/>
          </w:tcPr>
          <w:p w14:paraId="44E991E4" w14:textId="77777777" w:rsidR="00F81AAD" w:rsidRPr="003B5A55" w:rsidRDefault="004B0F2C">
            <w:pPr>
              <w:pStyle w:val="TableParagraph"/>
              <w:spacing w:before="16"/>
              <w:jc w:val="both"/>
              <w:rPr>
                <w:sz w:val="20"/>
                <w:szCs w:val="21"/>
                <w:lang w:val="ro-RO"/>
              </w:rPr>
            </w:pPr>
            <w:r w:rsidRPr="003B5A55">
              <w:rPr>
                <w:sz w:val="20"/>
                <w:szCs w:val="21"/>
                <w:lang w:val="ro-RO"/>
              </w:rPr>
              <w:t>Asistență financiară de până la 20.000 USD.</w:t>
            </w:r>
          </w:p>
          <w:p w14:paraId="4F8EA5D4" w14:textId="77777777" w:rsidR="00F81AAD" w:rsidRPr="003B5A55" w:rsidRDefault="00F81AAD">
            <w:pPr>
              <w:pStyle w:val="TableParagraph"/>
              <w:spacing w:before="7"/>
              <w:ind w:left="0"/>
              <w:rPr>
                <w:szCs w:val="21"/>
                <w:lang w:val="ro-RO"/>
              </w:rPr>
            </w:pPr>
          </w:p>
          <w:p w14:paraId="2E7C933A" w14:textId="1007D2EA" w:rsidR="00F81AAD" w:rsidRPr="003B5A55" w:rsidRDefault="004B0F2C">
            <w:pPr>
              <w:pStyle w:val="TableParagraph"/>
              <w:ind w:right="95"/>
              <w:jc w:val="both"/>
              <w:rPr>
                <w:sz w:val="20"/>
                <w:szCs w:val="21"/>
                <w:lang w:val="ro-RO"/>
              </w:rPr>
            </w:pPr>
            <w:r w:rsidRPr="003B5A55">
              <w:rPr>
                <w:sz w:val="20"/>
                <w:szCs w:val="21"/>
                <w:lang w:val="ro-RO"/>
              </w:rPr>
              <w:t xml:space="preserve">Allurion va plăti </w:t>
            </w:r>
            <w:r w:rsidR="004A0A47" w:rsidRPr="003B5A55">
              <w:rPr>
                <w:sz w:val="20"/>
                <w:szCs w:val="21"/>
                <w:lang w:val="ro-RO"/>
              </w:rPr>
              <w:t xml:space="preserve">cheltuielile </w:t>
            </w:r>
            <w:r w:rsidRPr="003B5A55">
              <w:rPr>
                <w:sz w:val="20"/>
                <w:szCs w:val="21"/>
                <w:lang w:val="ro-RO"/>
              </w:rPr>
              <w:t>chirurgicale, sala de operație și cheltuielile de anestezie legate direct de operația de revizie și care nu sunt acoperite de asigurare, până la o sumă totală maximă de 20.000 USD.</w:t>
            </w:r>
          </w:p>
        </w:tc>
      </w:tr>
      <w:tr w:rsidR="00F81AAD" w:rsidRPr="003B5A55" w14:paraId="54EA2BBB" w14:textId="77777777">
        <w:trPr>
          <w:trHeight w:val="1519"/>
        </w:trPr>
        <w:tc>
          <w:tcPr>
            <w:tcW w:w="2628" w:type="dxa"/>
            <w:tcBorders>
              <w:top w:val="single" w:sz="24" w:space="0" w:color="FFFFFF"/>
              <w:left w:val="nil"/>
              <w:bottom w:val="nil"/>
              <w:right w:val="single" w:sz="8" w:space="0" w:color="FFFFFF"/>
            </w:tcBorders>
            <w:shd w:val="clear" w:color="auto" w:fill="B8CCE2"/>
          </w:tcPr>
          <w:p w14:paraId="499BCBE7" w14:textId="77777777" w:rsidR="00F81AAD" w:rsidRPr="003B5A55" w:rsidRDefault="00887551" w:rsidP="00887551">
            <w:pPr>
              <w:pStyle w:val="TableParagraph"/>
              <w:spacing w:before="1"/>
              <w:ind w:left="0"/>
              <w:rPr>
                <w:b/>
                <w:sz w:val="18"/>
                <w:szCs w:val="21"/>
                <w:lang w:val="ro-RO"/>
              </w:rPr>
            </w:pPr>
            <w:r w:rsidRPr="003B5A55">
              <w:rPr>
                <w:b/>
                <w:sz w:val="18"/>
                <w:szCs w:val="21"/>
                <w:lang w:val="ro-RO"/>
              </w:rPr>
              <w:t>Obstrucția intestinului subțire</w:t>
            </w:r>
          </w:p>
        </w:tc>
        <w:tc>
          <w:tcPr>
            <w:tcW w:w="6886" w:type="dxa"/>
            <w:tcBorders>
              <w:top w:val="single" w:sz="24" w:space="0" w:color="FFFFFF"/>
              <w:left w:val="single" w:sz="8" w:space="0" w:color="FFFFFF"/>
              <w:bottom w:val="nil"/>
              <w:right w:val="nil"/>
            </w:tcBorders>
            <w:shd w:val="clear" w:color="auto" w:fill="B8CCE2"/>
          </w:tcPr>
          <w:p w14:paraId="78EA3C26" w14:textId="77777777" w:rsidR="00F81AAD" w:rsidRPr="003B5A55" w:rsidRDefault="004B0F2C">
            <w:pPr>
              <w:pStyle w:val="TableParagraph"/>
              <w:spacing w:before="16"/>
              <w:jc w:val="both"/>
              <w:rPr>
                <w:sz w:val="20"/>
                <w:szCs w:val="21"/>
                <w:lang w:val="ro-RO"/>
              </w:rPr>
            </w:pPr>
            <w:r w:rsidRPr="003B5A55">
              <w:rPr>
                <w:sz w:val="20"/>
                <w:szCs w:val="21"/>
                <w:lang w:val="ro-RO"/>
              </w:rPr>
              <w:t>Asistență financiară de până la 12.000 USD.</w:t>
            </w:r>
          </w:p>
          <w:p w14:paraId="4D1278D6" w14:textId="77777777" w:rsidR="00F81AAD" w:rsidRPr="003B5A55" w:rsidRDefault="00F81AAD">
            <w:pPr>
              <w:pStyle w:val="TableParagraph"/>
              <w:spacing w:before="7"/>
              <w:ind w:left="0"/>
              <w:rPr>
                <w:szCs w:val="21"/>
                <w:lang w:val="ro-RO"/>
              </w:rPr>
            </w:pPr>
          </w:p>
          <w:p w14:paraId="58B28D78" w14:textId="46DA9700" w:rsidR="00F81AAD" w:rsidRPr="003B5A55" w:rsidRDefault="004B0F2C">
            <w:pPr>
              <w:pStyle w:val="TableParagraph"/>
              <w:ind w:right="95"/>
              <w:jc w:val="both"/>
              <w:rPr>
                <w:sz w:val="20"/>
                <w:szCs w:val="21"/>
                <w:lang w:val="ro-RO"/>
              </w:rPr>
            </w:pPr>
            <w:r w:rsidRPr="003B5A55">
              <w:rPr>
                <w:sz w:val="20"/>
                <w:szCs w:val="21"/>
                <w:lang w:val="ro-RO"/>
              </w:rPr>
              <w:t>Allurion va plăti pentru cheltuielile chirurgicale, sala de operație și cheltuielile de anestezie legate direct de chirurgia de reviz</w:t>
            </w:r>
            <w:r w:rsidR="004A0A47" w:rsidRPr="003B5A55">
              <w:rPr>
                <w:sz w:val="20"/>
                <w:szCs w:val="21"/>
                <w:lang w:val="ro-RO"/>
              </w:rPr>
              <w:t>ie</w:t>
            </w:r>
            <w:r w:rsidRPr="003B5A55">
              <w:rPr>
                <w:sz w:val="20"/>
                <w:szCs w:val="21"/>
                <w:lang w:val="ro-RO"/>
              </w:rPr>
              <w:t xml:space="preserve"> și care nu sunt acoperite de asigurare, până la o sumă totală maximă de 12.000 USD.</w:t>
            </w:r>
          </w:p>
        </w:tc>
      </w:tr>
    </w:tbl>
    <w:p w14:paraId="369C776E" w14:textId="77777777" w:rsidR="00F81AAD" w:rsidRPr="003B5A55" w:rsidRDefault="00F81AAD">
      <w:pPr>
        <w:pStyle w:val="BodyText"/>
        <w:rPr>
          <w:sz w:val="18"/>
          <w:szCs w:val="21"/>
          <w:lang w:val="ro-RO"/>
        </w:rPr>
      </w:pPr>
    </w:p>
    <w:p w14:paraId="2B9E9047" w14:textId="77777777" w:rsidR="00F81AAD" w:rsidRPr="003B5A55" w:rsidRDefault="00F81AAD">
      <w:pPr>
        <w:pStyle w:val="BodyText"/>
        <w:rPr>
          <w:sz w:val="18"/>
          <w:szCs w:val="21"/>
          <w:lang w:val="ro-RO"/>
        </w:rPr>
      </w:pPr>
    </w:p>
    <w:p w14:paraId="7D11BB0C" w14:textId="77777777" w:rsidR="00F81AAD" w:rsidRPr="003B5A55" w:rsidRDefault="00F81AAD">
      <w:pPr>
        <w:pStyle w:val="BodyText"/>
        <w:rPr>
          <w:sz w:val="18"/>
          <w:szCs w:val="21"/>
          <w:lang w:val="ro-RO"/>
        </w:rPr>
      </w:pPr>
    </w:p>
    <w:p w14:paraId="2C41B199" w14:textId="77777777" w:rsidR="00F81AAD" w:rsidRPr="003B5A55" w:rsidRDefault="00F81AAD">
      <w:pPr>
        <w:pStyle w:val="BodyText"/>
        <w:rPr>
          <w:sz w:val="18"/>
          <w:szCs w:val="21"/>
          <w:lang w:val="ro-RO"/>
        </w:rPr>
      </w:pPr>
    </w:p>
    <w:p w14:paraId="6F470655" w14:textId="77777777" w:rsidR="00F81AAD" w:rsidRPr="003B5A55" w:rsidRDefault="00F81AAD">
      <w:pPr>
        <w:pStyle w:val="BodyText"/>
        <w:rPr>
          <w:sz w:val="18"/>
          <w:szCs w:val="21"/>
          <w:lang w:val="ro-RO"/>
        </w:rPr>
      </w:pPr>
    </w:p>
    <w:p w14:paraId="12CADD39" w14:textId="77777777" w:rsidR="00F81AAD" w:rsidRPr="003B5A55" w:rsidRDefault="00F81AAD">
      <w:pPr>
        <w:pStyle w:val="BodyText"/>
        <w:rPr>
          <w:sz w:val="18"/>
          <w:szCs w:val="21"/>
          <w:lang w:val="ro-RO"/>
        </w:rPr>
      </w:pPr>
    </w:p>
    <w:p w14:paraId="0B958E61" w14:textId="77777777" w:rsidR="00F81AAD" w:rsidRPr="003B5A55" w:rsidRDefault="00F81AAD">
      <w:pPr>
        <w:pStyle w:val="BodyText"/>
        <w:rPr>
          <w:sz w:val="18"/>
          <w:szCs w:val="21"/>
          <w:lang w:val="ro-RO"/>
        </w:rPr>
      </w:pPr>
    </w:p>
    <w:p w14:paraId="0383DB56" w14:textId="77777777" w:rsidR="00F81AAD" w:rsidRPr="003B5A55" w:rsidRDefault="00F81AAD">
      <w:pPr>
        <w:pStyle w:val="BodyText"/>
        <w:rPr>
          <w:sz w:val="18"/>
          <w:szCs w:val="21"/>
          <w:lang w:val="ro-RO"/>
        </w:rPr>
      </w:pPr>
    </w:p>
    <w:p w14:paraId="74821947" w14:textId="77777777" w:rsidR="00F81AAD" w:rsidRPr="003B5A55" w:rsidRDefault="00F81AAD">
      <w:pPr>
        <w:pStyle w:val="BodyText"/>
        <w:spacing w:before="4"/>
        <w:rPr>
          <w:sz w:val="28"/>
          <w:szCs w:val="21"/>
          <w:lang w:val="ro-RO"/>
        </w:rPr>
      </w:pPr>
    </w:p>
    <w:p w14:paraId="3E10AAFC" w14:textId="77777777" w:rsidR="00F81AAD" w:rsidRPr="003B5A55" w:rsidRDefault="004B0F2C">
      <w:pPr>
        <w:pStyle w:val="BodyText"/>
        <w:spacing w:before="57"/>
        <w:ind w:left="220"/>
        <w:rPr>
          <w:sz w:val="21"/>
          <w:szCs w:val="21"/>
          <w:lang w:val="ro-RO"/>
        </w:rPr>
      </w:pPr>
      <w:r w:rsidRPr="003B5A55">
        <w:rPr>
          <w:sz w:val="21"/>
          <w:szCs w:val="21"/>
          <w:lang w:val="ro-RO"/>
        </w:rPr>
        <w:t>CA-NAT-1950020</w:t>
      </w:r>
    </w:p>
    <w:p w14:paraId="207C587F" w14:textId="77777777" w:rsidR="00F81AAD" w:rsidRPr="003B5A55" w:rsidRDefault="00F81AAD">
      <w:pPr>
        <w:rPr>
          <w:sz w:val="21"/>
          <w:szCs w:val="21"/>
          <w:lang w:val="ro-RO"/>
        </w:rPr>
        <w:sectPr w:rsidR="00F81AAD" w:rsidRPr="003B5A55">
          <w:footerReference w:type="default" r:id="rId7"/>
          <w:type w:val="continuous"/>
          <w:pgSz w:w="12240" w:h="15840"/>
          <w:pgMar w:top="1120" w:right="1060" w:bottom="940" w:left="1220" w:header="720" w:footer="758" w:gutter="0"/>
          <w:pgNumType w:start="1"/>
          <w:cols w:space="720"/>
        </w:sectPr>
      </w:pPr>
    </w:p>
    <w:p w14:paraId="5D5BB688" w14:textId="77777777" w:rsidR="00F81AAD" w:rsidRPr="003B5A55" w:rsidRDefault="004B0F2C">
      <w:pPr>
        <w:pStyle w:val="BodyText"/>
        <w:spacing w:before="29"/>
        <w:ind w:left="220" w:right="367"/>
        <w:jc w:val="both"/>
        <w:rPr>
          <w:sz w:val="21"/>
          <w:szCs w:val="21"/>
          <w:lang w:val="ro-RO"/>
        </w:rPr>
      </w:pPr>
      <w:r w:rsidRPr="003B5A55">
        <w:rPr>
          <w:sz w:val="21"/>
          <w:szCs w:val="21"/>
          <w:lang w:val="ro-RO"/>
        </w:rPr>
        <w:lastRenderedPageBreak/>
        <w:t>Deflația prematură spontană a balonului, hiperinflația, pancreatita acută, perforarea GI și obstrucția intestinului subțire sunt printre riscurile cunoscute ale baloanelor gastrice.</w:t>
      </w:r>
    </w:p>
    <w:p w14:paraId="22767AAA" w14:textId="77777777" w:rsidR="00F81AAD" w:rsidRPr="003B5A55" w:rsidRDefault="00F81AAD">
      <w:pPr>
        <w:pStyle w:val="BodyText"/>
        <w:spacing w:before="8"/>
        <w:rPr>
          <w:sz w:val="18"/>
          <w:szCs w:val="21"/>
          <w:lang w:val="ro-RO"/>
        </w:rPr>
      </w:pPr>
    </w:p>
    <w:p w14:paraId="364C9DE1" w14:textId="2113605F" w:rsidR="00F81AAD" w:rsidRPr="003B5A55" w:rsidRDefault="004B0F2C">
      <w:pPr>
        <w:pStyle w:val="BodyText"/>
        <w:ind w:left="220" w:right="364"/>
        <w:jc w:val="both"/>
        <w:rPr>
          <w:sz w:val="21"/>
          <w:szCs w:val="21"/>
          <w:lang w:val="ro-RO"/>
        </w:rPr>
      </w:pPr>
      <w:r w:rsidRPr="003B5A55">
        <w:rPr>
          <w:sz w:val="21"/>
          <w:szCs w:val="21"/>
          <w:lang w:val="ro-RO"/>
        </w:rPr>
        <w:t>Pregătirea medicală a medicului, familiaritatea cu dispozitivele și procedurile utilizate, precum și cunoașterea pacientului și a istoricului medical al pacientului, îl plasează pe medic în cea mai bună poziție pentru a</w:t>
      </w:r>
      <w:r w:rsidR="004A0A47" w:rsidRPr="003B5A55">
        <w:rPr>
          <w:sz w:val="21"/>
          <w:szCs w:val="21"/>
          <w:lang w:val="ro-RO"/>
        </w:rPr>
        <w:t>-i</w:t>
      </w:r>
      <w:r w:rsidRPr="003B5A55">
        <w:rPr>
          <w:sz w:val="21"/>
          <w:szCs w:val="21"/>
          <w:lang w:val="ro-RO"/>
        </w:rPr>
        <w:t xml:space="preserve"> </w:t>
      </w:r>
      <w:r w:rsidR="004A0A47" w:rsidRPr="003B5A55">
        <w:rPr>
          <w:sz w:val="21"/>
          <w:szCs w:val="21"/>
          <w:lang w:val="ro-RO"/>
        </w:rPr>
        <w:t>vorbi</w:t>
      </w:r>
      <w:r w:rsidRPr="003B5A55">
        <w:rPr>
          <w:sz w:val="21"/>
          <w:szCs w:val="21"/>
          <w:lang w:val="ro-RO"/>
        </w:rPr>
        <w:t xml:space="preserve"> pacientului </w:t>
      </w:r>
      <w:r w:rsidR="004A0A47" w:rsidRPr="003B5A55">
        <w:rPr>
          <w:sz w:val="21"/>
          <w:szCs w:val="21"/>
          <w:lang w:val="ro-RO"/>
        </w:rPr>
        <w:t xml:space="preserve">despre </w:t>
      </w:r>
      <w:r w:rsidRPr="003B5A55">
        <w:rPr>
          <w:sz w:val="21"/>
          <w:szCs w:val="21"/>
          <w:lang w:val="ro-RO"/>
        </w:rPr>
        <w:t xml:space="preserve">riscurile și beneficiile procedurilor și a balonului Elipse. Prin urmare, medicul, ca intermediar </w:t>
      </w:r>
      <w:r w:rsidR="004A0A47" w:rsidRPr="003B5A55">
        <w:rPr>
          <w:sz w:val="21"/>
          <w:szCs w:val="21"/>
          <w:lang w:val="ro-RO"/>
        </w:rPr>
        <w:t>pregătit</w:t>
      </w:r>
      <w:r w:rsidRPr="003B5A55">
        <w:rPr>
          <w:sz w:val="21"/>
          <w:szCs w:val="21"/>
          <w:lang w:val="ro-RO"/>
        </w:rPr>
        <w:t xml:space="preserve">, este responsabil pentru </w:t>
      </w:r>
      <w:r w:rsidR="004A0A47" w:rsidRPr="003B5A55">
        <w:rPr>
          <w:sz w:val="21"/>
          <w:szCs w:val="21"/>
          <w:lang w:val="ro-RO"/>
        </w:rPr>
        <w:t xml:space="preserve">a-i furniza </w:t>
      </w:r>
      <w:r w:rsidRPr="003B5A55">
        <w:rPr>
          <w:sz w:val="21"/>
          <w:szCs w:val="21"/>
          <w:lang w:val="ro-RO"/>
        </w:rPr>
        <w:t xml:space="preserve">pacientului informații adecvate privind riscul </w:t>
      </w:r>
      <w:r w:rsidR="004A0A47" w:rsidRPr="003B5A55">
        <w:rPr>
          <w:sz w:val="21"/>
          <w:szCs w:val="21"/>
          <w:lang w:val="ro-RO"/>
        </w:rPr>
        <w:t>de di</w:t>
      </w:r>
      <w:r w:rsidRPr="003B5A55">
        <w:rPr>
          <w:sz w:val="21"/>
          <w:szCs w:val="21"/>
          <w:lang w:val="ro-RO"/>
        </w:rPr>
        <w:t xml:space="preserve">nainte de procedură, inclusiv (dar fără a se limita la) riscul de deflație prematură spontană a balonului, hiperinflația, pancreatita acută, perforarea GI și obstrucția intestinului subțire, și alte posibile reacții adverse și complicații asociate cu baloane gastrice. Sursa primară de informații despre riscuri pentru pacienți este prin acest intermediar </w:t>
      </w:r>
      <w:r w:rsidR="002B7D5E" w:rsidRPr="003B5A55">
        <w:rPr>
          <w:sz w:val="21"/>
          <w:szCs w:val="21"/>
          <w:lang w:val="ro-RO"/>
        </w:rPr>
        <w:t>pregătit</w:t>
      </w:r>
      <w:r w:rsidRPr="003B5A55">
        <w:rPr>
          <w:sz w:val="21"/>
          <w:szCs w:val="21"/>
          <w:lang w:val="ro-RO"/>
        </w:rPr>
        <w:t xml:space="preserve">, deși Allurion pune la dispoziția tuturor medicilor și pacienților o copie a Instrucțiunilor de utilizare (IFU) care descrie beneficiile și riscurile Programului Allurion cu balonul Elipse prin intermediul </w:t>
      </w:r>
      <w:r w:rsidR="002B7D5E" w:rsidRPr="003B5A55">
        <w:rPr>
          <w:sz w:val="21"/>
          <w:szCs w:val="21"/>
          <w:lang w:val="ro-RO"/>
        </w:rPr>
        <w:t>paginii noastre de internet</w:t>
      </w:r>
      <w:r w:rsidRPr="003B5A55">
        <w:rPr>
          <w:sz w:val="21"/>
          <w:szCs w:val="21"/>
          <w:lang w:val="ro-RO"/>
        </w:rPr>
        <w:t>. Copiile pot fi obținute și contactând direct Allurion. Acest document nu este destinat și nu poate lua locul unei discuții complete și sincere între medic și pacient sau a informațiilor importante de siguranță conținute în IFU. O copie digitală a IFU poate fi găsită la https://allurion.com/quality-risk-information. sau informațiile importante de siguranță conținute în IFU. O copie digitală a IFU poate fi găsită la https://allurion.com/quality-risk-information. sau informațiile importante de siguranță conținute în IFU. O copie digitală a IFU poate fi găsită la https://allurion.com/quality-risk-information.</w:t>
      </w:r>
    </w:p>
    <w:p w14:paraId="34519D93" w14:textId="77777777" w:rsidR="00F81AAD" w:rsidRPr="003B5A55" w:rsidRDefault="00F81AAD">
      <w:pPr>
        <w:pStyle w:val="BodyText"/>
        <w:spacing w:before="9"/>
        <w:rPr>
          <w:sz w:val="18"/>
          <w:szCs w:val="21"/>
          <w:lang w:val="ro-RO"/>
        </w:rPr>
      </w:pPr>
    </w:p>
    <w:p w14:paraId="3A16EC44" w14:textId="742AD846" w:rsidR="00F81AAD" w:rsidRPr="003B5A55" w:rsidRDefault="004B0F2C">
      <w:pPr>
        <w:pStyle w:val="BodyText"/>
        <w:spacing w:line="453" w:lineRule="auto"/>
        <w:ind w:left="1660" w:right="371" w:hanging="1440"/>
        <w:jc w:val="both"/>
        <w:rPr>
          <w:sz w:val="21"/>
          <w:szCs w:val="21"/>
          <w:lang w:val="ro-RO"/>
        </w:rPr>
      </w:pPr>
      <w:r w:rsidRPr="003B5A55">
        <w:rPr>
          <w:sz w:val="21"/>
          <w:szCs w:val="21"/>
          <w:lang w:val="ro-RO"/>
        </w:rPr>
        <w:t xml:space="preserve">Baloanele Elipse </w:t>
      </w:r>
      <w:r w:rsidR="002B7D5E" w:rsidRPr="003B5A55">
        <w:rPr>
          <w:sz w:val="21"/>
          <w:szCs w:val="21"/>
          <w:lang w:val="ro-RO"/>
        </w:rPr>
        <w:t xml:space="preserve">calificate </w:t>
      </w:r>
      <w:r w:rsidRPr="003B5A55">
        <w:rPr>
          <w:sz w:val="21"/>
          <w:szCs w:val="21"/>
          <w:lang w:val="ro-RO"/>
        </w:rPr>
        <w:t>ale programului Allurion sunt următoarele (denumite în continuare „Baloane Elipse”): Baloane Elipse: REF 10B și 10C numere piesă F010-17 și FS010-20</w:t>
      </w:r>
    </w:p>
    <w:p w14:paraId="1C72BAB5" w14:textId="55266D9A" w:rsidR="00F81AAD" w:rsidRPr="003B5A55" w:rsidRDefault="004B0F2C">
      <w:pPr>
        <w:pStyle w:val="BodyText"/>
        <w:spacing w:before="31"/>
        <w:ind w:left="219" w:right="370"/>
        <w:jc w:val="both"/>
        <w:rPr>
          <w:sz w:val="21"/>
          <w:szCs w:val="21"/>
          <w:lang w:val="ro-RO"/>
        </w:rPr>
      </w:pPr>
      <w:r w:rsidRPr="003B5A55">
        <w:rPr>
          <w:sz w:val="21"/>
          <w:szCs w:val="21"/>
          <w:lang w:val="ro-RO"/>
        </w:rPr>
        <w:t xml:space="preserve">Aceasta este doar o garanție limitată și se supune termenilor și condițiilor stabilite în acest document. SUNT EXCLUSE TOATE </w:t>
      </w:r>
      <w:r w:rsidR="002B7D5E" w:rsidRPr="003B5A55">
        <w:rPr>
          <w:sz w:val="21"/>
          <w:szCs w:val="21"/>
          <w:lang w:val="ro-RO"/>
        </w:rPr>
        <w:t>CELELALTE</w:t>
      </w:r>
      <w:r w:rsidRPr="003B5A55">
        <w:rPr>
          <w:sz w:val="21"/>
          <w:szCs w:val="21"/>
          <w:lang w:val="ro-RO"/>
        </w:rPr>
        <w:t xml:space="preserve"> GARANȚII, EXPRESE SAU IMPLICITE, PRIN APLICAREA LEGII SAU ALTELE, INCLUSIV, DAR FĂRĂ A SE LIMITA LA, GARANȚII IMPLICITE DE </w:t>
      </w:r>
      <w:r w:rsidR="002B7D5E" w:rsidRPr="003B5A55">
        <w:rPr>
          <w:sz w:val="21"/>
          <w:szCs w:val="21"/>
          <w:lang w:val="ro-RO"/>
        </w:rPr>
        <w:t>VANDABILITATE</w:t>
      </w:r>
      <w:r w:rsidRPr="003B5A55">
        <w:rPr>
          <w:sz w:val="21"/>
          <w:szCs w:val="21"/>
          <w:lang w:val="ro-RO"/>
        </w:rPr>
        <w:t xml:space="preserve"> ȘI ADEC</w:t>
      </w:r>
      <w:r w:rsidR="002B7D5E" w:rsidRPr="003B5A55">
        <w:rPr>
          <w:sz w:val="21"/>
          <w:szCs w:val="21"/>
          <w:lang w:val="ro-RO"/>
        </w:rPr>
        <w:t>V</w:t>
      </w:r>
      <w:r w:rsidRPr="003B5A55">
        <w:rPr>
          <w:sz w:val="21"/>
          <w:szCs w:val="21"/>
          <w:lang w:val="ro-RO"/>
        </w:rPr>
        <w:t>ARE PENTRU UN ANUMIT SCOP. ÎNLOCUIREA BALOANELOR ELIPSE CALIFICATE ȘI PLATA SUMELOR DEFINITE PENTRU PROCEDURILE NECESARE DE REVIZ</w:t>
      </w:r>
      <w:r w:rsidR="002B7D5E" w:rsidRPr="003B5A55">
        <w:rPr>
          <w:sz w:val="21"/>
          <w:szCs w:val="21"/>
          <w:lang w:val="ro-RO"/>
        </w:rPr>
        <w:t>I</w:t>
      </w:r>
      <w:r w:rsidRPr="003B5A55">
        <w:rPr>
          <w:sz w:val="21"/>
          <w:szCs w:val="21"/>
          <w:lang w:val="ro-RO"/>
        </w:rPr>
        <w:t xml:space="preserve">E SAU </w:t>
      </w:r>
      <w:r w:rsidR="002B7D5E" w:rsidRPr="003B5A55">
        <w:rPr>
          <w:sz w:val="21"/>
          <w:szCs w:val="21"/>
          <w:lang w:val="ro-RO"/>
        </w:rPr>
        <w:t>OPERAȚIE CHIRURGICALĂ</w:t>
      </w:r>
      <w:r w:rsidRPr="003B5A55">
        <w:rPr>
          <w:sz w:val="21"/>
          <w:szCs w:val="21"/>
          <w:lang w:val="ro-RO"/>
        </w:rPr>
        <w:t xml:space="preserve">, CUM SUNT STABILITE ÎN ACEASTĂ GARANȚIE LIMITATĂ, SUNT, ÎN MĂSURA MAXIMĂ PERMISĂ ÎN DREPTUL APLICABIL, </w:t>
      </w:r>
      <w:r w:rsidR="002B7D5E" w:rsidRPr="003B5A55">
        <w:rPr>
          <w:sz w:val="21"/>
          <w:szCs w:val="21"/>
          <w:lang w:val="ro-RO"/>
        </w:rPr>
        <w:t xml:space="preserve">LA SOLICITAREA EXCLUSIVĂ A </w:t>
      </w:r>
      <w:r w:rsidRPr="003B5A55">
        <w:rPr>
          <w:sz w:val="21"/>
          <w:szCs w:val="21"/>
          <w:lang w:val="ro-RO"/>
        </w:rPr>
        <w:t xml:space="preserve">PACIENTULUI. ALLURION NU VA FI </w:t>
      </w:r>
      <w:r w:rsidR="002B7D5E" w:rsidRPr="003B5A55">
        <w:rPr>
          <w:sz w:val="21"/>
          <w:szCs w:val="21"/>
          <w:lang w:val="ro-RO"/>
        </w:rPr>
        <w:t xml:space="preserve">RĂSPUNZĂTOR </w:t>
      </w:r>
      <w:r w:rsidRPr="003B5A55">
        <w:rPr>
          <w:sz w:val="21"/>
          <w:szCs w:val="21"/>
          <w:lang w:val="ro-RO"/>
        </w:rPr>
        <w:t xml:space="preserve">PENTRU NICI O PIERDERE INCIDENTALĂ, INDIRECTĂ, </w:t>
      </w:r>
      <w:r w:rsidR="002B7D5E" w:rsidRPr="003B5A55">
        <w:rPr>
          <w:sz w:val="21"/>
          <w:szCs w:val="21"/>
          <w:lang w:val="ro-RO"/>
        </w:rPr>
        <w:t xml:space="preserve">DE CONSECINȚĂ </w:t>
      </w:r>
      <w:r w:rsidRPr="003B5A55">
        <w:rPr>
          <w:sz w:val="21"/>
          <w:szCs w:val="21"/>
          <w:lang w:val="ro-RO"/>
        </w:rPr>
        <w:t xml:space="preserve">SAU SPECIALĂ, DAUNE, SAU CHELTUIELI CARE </w:t>
      </w:r>
      <w:r w:rsidR="002B7D5E" w:rsidRPr="003B5A55">
        <w:rPr>
          <w:sz w:val="21"/>
          <w:szCs w:val="21"/>
          <w:lang w:val="ro-RO"/>
        </w:rPr>
        <w:t xml:space="preserve">IMPLICATE </w:t>
      </w:r>
      <w:r w:rsidRPr="003B5A55">
        <w:rPr>
          <w:sz w:val="21"/>
          <w:szCs w:val="21"/>
          <w:lang w:val="ro-RO"/>
        </w:rPr>
        <w:t xml:space="preserve">DIRECT SAU INDIRECT DIN UTILIZAREA ACESTOR PRODUSE. </w:t>
      </w:r>
      <w:r w:rsidR="002B7D5E" w:rsidRPr="003B5A55">
        <w:rPr>
          <w:sz w:val="21"/>
          <w:szCs w:val="21"/>
          <w:lang w:val="ro-RO"/>
        </w:rPr>
        <w:t xml:space="preserve">ALLURION </w:t>
      </w:r>
      <w:r w:rsidRPr="003B5A55">
        <w:rPr>
          <w:sz w:val="21"/>
          <w:szCs w:val="21"/>
          <w:lang w:val="ro-RO"/>
        </w:rPr>
        <w:t xml:space="preserve">NU </w:t>
      </w:r>
      <w:r w:rsidR="002B7D5E" w:rsidRPr="003B5A55">
        <w:rPr>
          <w:sz w:val="21"/>
          <w:szCs w:val="21"/>
          <w:lang w:val="ro-RO"/>
        </w:rPr>
        <w:t xml:space="preserve">ÎȘI </w:t>
      </w:r>
      <w:r w:rsidRPr="003B5A55">
        <w:rPr>
          <w:sz w:val="21"/>
          <w:szCs w:val="21"/>
          <w:lang w:val="ro-RO"/>
        </w:rPr>
        <w:t xml:space="preserve">ASUMĂ, ȘI NICI </w:t>
      </w:r>
      <w:r w:rsidR="002B7D5E" w:rsidRPr="003B5A55">
        <w:rPr>
          <w:sz w:val="21"/>
          <w:szCs w:val="21"/>
          <w:lang w:val="ro-RO"/>
        </w:rPr>
        <w:t xml:space="preserve">NU </w:t>
      </w:r>
      <w:r w:rsidRPr="003B5A55">
        <w:rPr>
          <w:sz w:val="21"/>
          <w:szCs w:val="21"/>
          <w:lang w:val="ro-RO"/>
        </w:rPr>
        <w:t>AUTORIZ</w:t>
      </w:r>
      <w:r w:rsidR="002B7D5E" w:rsidRPr="003B5A55">
        <w:rPr>
          <w:sz w:val="21"/>
          <w:szCs w:val="21"/>
          <w:lang w:val="ro-RO"/>
        </w:rPr>
        <w:t>EAZ</w:t>
      </w:r>
      <w:r w:rsidRPr="003B5A55">
        <w:rPr>
          <w:sz w:val="21"/>
          <w:szCs w:val="21"/>
          <w:lang w:val="ro-RO"/>
        </w:rPr>
        <w:t>Ă NICIO ALTĂ PERSOANĂ PENTRU A-</w:t>
      </w:r>
      <w:r w:rsidR="002B7D5E" w:rsidRPr="003B5A55">
        <w:rPr>
          <w:sz w:val="21"/>
          <w:szCs w:val="21"/>
          <w:lang w:val="ro-RO"/>
        </w:rPr>
        <w:t xml:space="preserve">ȘI </w:t>
      </w:r>
      <w:r w:rsidRPr="003B5A55">
        <w:rPr>
          <w:sz w:val="21"/>
          <w:szCs w:val="21"/>
          <w:lang w:val="ro-RO"/>
        </w:rPr>
        <w:t xml:space="preserve">ASUMA, ORICE ALTĂ RESPONSABILITATE SAU </w:t>
      </w:r>
      <w:r w:rsidR="002B7D5E" w:rsidRPr="003B5A55">
        <w:rPr>
          <w:sz w:val="21"/>
          <w:szCs w:val="21"/>
          <w:lang w:val="ro-RO"/>
        </w:rPr>
        <w:t xml:space="preserve">RĂSPUNDERE </w:t>
      </w:r>
      <w:r w:rsidRPr="003B5A55">
        <w:rPr>
          <w:sz w:val="21"/>
          <w:szCs w:val="21"/>
          <w:lang w:val="ro-RO"/>
        </w:rPr>
        <w:t>SUPLIMENTARĂ ÎN LEGĂTURĂ CU ACESTE PRODUSE. ACEAST</w:t>
      </w:r>
      <w:r w:rsidR="002B7D5E" w:rsidRPr="003B5A55">
        <w:rPr>
          <w:sz w:val="21"/>
          <w:szCs w:val="21"/>
          <w:lang w:val="ro-RO"/>
        </w:rPr>
        <w:t>Ă</w:t>
      </w:r>
      <w:r w:rsidRPr="003B5A55">
        <w:rPr>
          <w:sz w:val="21"/>
          <w:szCs w:val="21"/>
          <w:lang w:val="ro-RO"/>
        </w:rPr>
        <w:t xml:space="preserve"> SECȚIUNE, ÎMPREUNĂ CU ACEAST</w:t>
      </w:r>
      <w:r w:rsidR="002B7D5E" w:rsidRPr="003B5A55">
        <w:rPr>
          <w:sz w:val="21"/>
          <w:szCs w:val="21"/>
          <w:lang w:val="ro-RO"/>
        </w:rPr>
        <w:t>Ă</w:t>
      </w:r>
      <w:r w:rsidRPr="003B5A55">
        <w:rPr>
          <w:sz w:val="21"/>
          <w:szCs w:val="21"/>
          <w:lang w:val="ro-RO"/>
        </w:rPr>
        <w:t xml:space="preserve"> GARANȚIE LIMITATĂ, ALOCĂ RISCURILE ÎNTRE A</w:t>
      </w:r>
      <w:r w:rsidR="002B7D5E" w:rsidRPr="003B5A55">
        <w:rPr>
          <w:sz w:val="21"/>
          <w:szCs w:val="21"/>
          <w:lang w:val="ro-RO"/>
        </w:rPr>
        <w:t>L</w:t>
      </w:r>
      <w:r w:rsidRPr="003B5A55">
        <w:rPr>
          <w:sz w:val="21"/>
          <w:szCs w:val="21"/>
          <w:lang w:val="ro-RO"/>
        </w:rPr>
        <w:t>LURI</w:t>
      </w:r>
      <w:r w:rsidR="002B7D5E" w:rsidRPr="003B5A55">
        <w:rPr>
          <w:sz w:val="21"/>
          <w:szCs w:val="21"/>
          <w:lang w:val="ro-RO"/>
        </w:rPr>
        <w:t>ON</w:t>
      </w:r>
      <w:r w:rsidRPr="003B5A55">
        <w:rPr>
          <w:sz w:val="21"/>
          <w:szCs w:val="21"/>
          <w:lang w:val="ro-RO"/>
        </w:rPr>
        <w:t xml:space="preserve"> ȘI PACIENT. ACEAST</w:t>
      </w:r>
      <w:r w:rsidR="002B7D5E" w:rsidRPr="003B5A55">
        <w:rPr>
          <w:sz w:val="21"/>
          <w:szCs w:val="21"/>
          <w:lang w:val="ro-RO"/>
        </w:rPr>
        <w:t>Ă</w:t>
      </w:r>
      <w:r w:rsidRPr="003B5A55">
        <w:rPr>
          <w:sz w:val="21"/>
          <w:szCs w:val="21"/>
          <w:lang w:val="ro-RO"/>
        </w:rPr>
        <w:t xml:space="preserve"> ALOCARE ESTE REFLECTATĂ ÎN PREȚUL PRODUSELOR ȘI ESTE UN ELEMENT ESENȚIAL AL ​​</w:t>
      </w:r>
      <w:r w:rsidR="002B7D5E" w:rsidRPr="003B5A55">
        <w:rPr>
          <w:sz w:val="21"/>
          <w:szCs w:val="21"/>
          <w:lang w:val="ro-RO"/>
        </w:rPr>
        <w:t>NEGOCIERII DI</w:t>
      </w:r>
      <w:r w:rsidRPr="003B5A55">
        <w:rPr>
          <w:sz w:val="21"/>
          <w:szCs w:val="21"/>
          <w:lang w:val="ro-RO"/>
        </w:rPr>
        <w:t xml:space="preserve">NTRE </w:t>
      </w:r>
      <w:r w:rsidR="002B7D5E" w:rsidRPr="003B5A55">
        <w:rPr>
          <w:sz w:val="21"/>
          <w:szCs w:val="21"/>
          <w:lang w:val="ro-RO"/>
        </w:rPr>
        <w:t xml:space="preserve">ALLURION </w:t>
      </w:r>
      <w:r w:rsidRPr="003B5A55">
        <w:rPr>
          <w:sz w:val="21"/>
          <w:szCs w:val="21"/>
          <w:lang w:val="ro-RO"/>
        </w:rPr>
        <w:t>ȘI PACIENT. UNELE LOCALITĂȚI NU PERMIT LIMITĂRI PENTRU DUR</w:t>
      </w:r>
      <w:r w:rsidR="002B7D5E" w:rsidRPr="003B5A55">
        <w:rPr>
          <w:sz w:val="21"/>
          <w:szCs w:val="21"/>
          <w:lang w:val="ro-RO"/>
        </w:rPr>
        <w:t xml:space="preserve">ATA UNEI </w:t>
      </w:r>
      <w:r w:rsidRPr="003B5A55">
        <w:rPr>
          <w:sz w:val="21"/>
          <w:szCs w:val="21"/>
          <w:lang w:val="ro-RO"/>
        </w:rPr>
        <w:t>GARANȚI</w:t>
      </w:r>
      <w:r w:rsidR="002B7D5E" w:rsidRPr="003B5A55">
        <w:rPr>
          <w:sz w:val="21"/>
          <w:szCs w:val="21"/>
          <w:lang w:val="ro-RO"/>
        </w:rPr>
        <w:t>I</w:t>
      </w:r>
      <w:r w:rsidRPr="003B5A55">
        <w:rPr>
          <w:sz w:val="21"/>
          <w:szCs w:val="21"/>
          <w:lang w:val="ro-RO"/>
        </w:rPr>
        <w:t xml:space="preserve"> IMPLICIT</w:t>
      </w:r>
      <w:r w:rsidR="002B7D5E" w:rsidRPr="003B5A55">
        <w:rPr>
          <w:sz w:val="21"/>
          <w:szCs w:val="21"/>
          <w:lang w:val="ro-RO"/>
        </w:rPr>
        <w:t>E</w:t>
      </w:r>
      <w:r w:rsidRPr="003B5A55">
        <w:rPr>
          <w:sz w:val="21"/>
          <w:szCs w:val="21"/>
          <w:lang w:val="ro-RO"/>
        </w:rPr>
        <w:t xml:space="preserve"> SAU EXCLUDEREA SAU LIMITAREA DAUNELOR INCIDENTALE SAU </w:t>
      </w:r>
      <w:r w:rsidR="002B7D5E" w:rsidRPr="003B5A55">
        <w:rPr>
          <w:sz w:val="21"/>
          <w:szCs w:val="21"/>
          <w:lang w:val="ro-RO"/>
        </w:rPr>
        <w:t>DE CONSECINȚĂ</w:t>
      </w:r>
      <w:r w:rsidRPr="003B5A55">
        <w:rPr>
          <w:sz w:val="21"/>
          <w:szCs w:val="21"/>
          <w:lang w:val="ro-RO"/>
        </w:rPr>
        <w:t>, AȘA CĂ LIMITĂRILE DE MAI SUS NU SE APLICĂ UNUI PACIENT DAT.</w:t>
      </w:r>
    </w:p>
    <w:p w14:paraId="78716899" w14:textId="77777777" w:rsidR="00F81AAD" w:rsidRPr="003B5A55" w:rsidRDefault="00F81AAD">
      <w:pPr>
        <w:pStyle w:val="BodyText"/>
        <w:spacing w:before="10"/>
        <w:rPr>
          <w:sz w:val="18"/>
          <w:szCs w:val="21"/>
          <w:lang w:val="ro-RO"/>
        </w:rPr>
      </w:pPr>
    </w:p>
    <w:p w14:paraId="31C6B449" w14:textId="2C31CA18" w:rsidR="00F81AAD" w:rsidRPr="003B5A55" w:rsidRDefault="004B0F2C">
      <w:pPr>
        <w:pStyle w:val="Heading1"/>
        <w:ind w:left="940"/>
        <w:rPr>
          <w:sz w:val="21"/>
          <w:szCs w:val="21"/>
          <w:lang w:val="ro-RO"/>
        </w:rPr>
      </w:pPr>
      <w:bookmarkStart w:id="1" w:name="APPLICATION_OF_THE_ALLURION_WARRANTIES"/>
      <w:bookmarkEnd w:id="1"/>
      <w:r w:rsidRPr="003B5A55">
        <w:rPr>
          <w:sz w:val="21"/>
          <w:szCs w:val="21"/>
          <w:lang w:val="ro-RO"/>
        </w:rPr>
        <w:t xml:space="preserve">APLICAREA GARANȚIILOR </w:t>
      </w:r>
      <w:r w:rsidR="002B7D5E" w:rsidRPr="003B5A55">
        <w:rPr>
          <w:sz w:val="21"/>
          <w:szCs w:val="21"/>
          <w:lang w:val="ro-RO"/>
        </w:rPr>
        <w:t>ALLURION</w:t>
      </w:r>
    </w:p>
    <w:p w14:paraId="2EFF345B" w14:textId="77777777" w:rsidR="00F81AAD" w:rsidRPr="003B5A55" w:rsidRDefault="00F81AAD">
      <w:pPr>
        <w:pStyle w:val="BodyText"/>
        <w:spacing w:before="6"/>
        <w:rPr>
          <w:b/>
          <w:sz w:val="18"/>
          <w:szCs w:val="21"/>
          <w:lang w:val="ro-RO"/>
        </w:rPr>
      </w:pPr>
    </w:p>
    <w:p w14:paraId="0F8846C0" w14:textId="77777777" w:rsidR="00F81AAD" w:rsidRPr="003B5A55" w:rsidRDefault="004B0F2C">
      <w:pPr>
        <w:pStyle w:val="ListParagraph"/>
        <w:numPr>
          <w:ilvl w:val="0"/>
          <w:numId w:val="6"/>
        </w:numPr>
        <w:tabs>
          <w:tab w:val="left" w:pos="939"/>
          <w:tab w:val="left" w:pos="941"/>
        </w:tabs>
        <w:ind w:hanging="724"/>
        <w:rPr>
          <w:b/>
          <w:sz w:val="21"/>
          <w:szCs w:val="21"/>
          <w:lang w:val="ro-RO"/>
        </w:rPr>
      </w:pPr>
      <w:r w:rsidRPr="003B5A55">
        <w:rPr>
          <w:b/>
          <w:sz w:val="21"/>
          <w:szCs w:val="21"/>
          <w:lang w:val="ro-RO"/>
        </w:rPr>
        <w:t>GARANȚIE</w:t>
      </w:r>
    </w:p>
    <w:p w14:paraId="7A0EF65C" w14:textId="77777777" w:rsidR="00F81AAD" w:rsidRPr="003B5A55" w:rsidRDefault="00F81AAD">
      <w:pPr>
        <w:pStyle w:val="BodyText"/>
        <w:spacing w:before="8"/>
        <w:rPr>
          <w:b/>
          <w:sz w:val="18"/>
          <w:szCs w:val="21"/>
          <w:lang w:val="ro-RO"/>
        </w:rPr>
      </w:pPr>
    </w:p>
    <w:p w14:paraId="2B0E139F" w14:textId="0D22B88A" w:rsidR="00F81AAD" w:rsidRPr="003B5A55" w:rsidRDefault="004B0F2C">
      <w:pPr>
        <w:pStyle w:val="ListParagraph"/>
        <w:numPr>
          <w:ilvl w:val="1"/>
          <w:numId w:val="6"/>
        </w:numPr>
        <w:tabs>
          <w:tab w:val="left" w:pos="939"/>
          <w:tab w:val="left" w:pos="941"/>
        </w:tabs>
        <w:ind w:right="367"/>
        <w:jc w:val="both"/>
        <w:rPr>
          <w:sz w:val="21"/>
          <w:szCs w:val="21"/>
          <w:lang w:val="ro-RO"/>
        </w:rPr>
      </w:pPr>
      <w:r w:rsidRPr="003B5A55">
        <w:rPr>
          <w:b/>
          <w:sz w:val="21"/>
          <w:szCs w:val="21"/>
          <w:lang w:val="ro-RO"/>
        </w:rPr>
        <w:t>Cronologie</w:t>
      </w:r>
      <w:r w:rsidRPr="003B5A55">
        <w:rPr>
          <w:sz w:val="21"/>
          <w:szCs w:val="21"/>
          <w:lang w:val="ro-RO"/>
        </w:rPr>
        <w:t>: Garanția Allurion se aplică automat baloanelor Elipse plasate pe toate piețele Allurion din afara Statelor Unite ale Americii, unde a fost depusă o cerere de eligibilitate la sau după 1 ianuarie 2021 și înlocuiește orice program de garanție Allurion anterior aplicabil. Revendicările pentru deflația prematură spontană a balonului înainte de 90 de zile în interiorul corpului trebuie făcute în termen de 120 de zile de la plasarea inițială a balonului. Revendicările pentru hiperinflație, pancreatită acută, perforare GI și obstrucție a intestinului subțire trebuie făcute în termen de 180 de zile de la plasarea inițială.</w:t>
      </w:r>
    </w:p>
    <w:p w14:paraId="56137953" w14:textId="77777777" w:rsidR="00F81AAD" w:rsidRPr="003B5A55" w:rsidRDefault="00F81AAD">
      <w:pPr>
        <w:pStyle w:val="BodyText"/>
        <w:spacing w:before="9"/>
        <w:rPr>
          <w:sz w:val="18"/>
          <w:szCs w:val="21"/>
          <w:lang w:val="ro-RO"/>
        </w:rPr>
      </w:pPr>
    </w:p>
    <w:p w14:paraId="442258B1" w14:textId="7E283034" w:rsidR="00F81AAD" w:rsidRPr="003B5A55" w:rsidRDefault="002B7D5E">
      <w:pPr>
        <w:pStyle w:val="ListParagraph"/>
        <w:numPr>
          <w:ilvl w:val="1"/>
          <w:numId w:val="6"/>
        </w:numPr>
        <w:tabs>
          <w:tab w:val="left" w:pos="939"/>
          <w:tab w:val="left" w:pos="941"/>
        </w:tabs>
        <w:spacing w:before="1"/>
        <w:ind w:right="825" w:hanging="723"/>
        <w:rPr>
          <w:sz w:val="21"/>
          <w:szCs w:val="21"/>
          <w:lang w:val="ro-RO"/>
        </w:rPr>
      </w:pPr>
      <w:r w:rsidRPr="003B5A55">
        <w:rPr>
          <w:b/>
          <w:sz w:val="21"/>
          <w:szCs w:val="21"/>
          <w:lang w:val="ro-RO"/>
        </w:rPr>
        <w:t>Cazuri</w:t>
      </w:r>
      <w:r w:rsidR="004B0F2C" w:rsidRPr="003B5A55">
        <w:rPr>
          <w:b/>
          <w:sz w:val="21"/>
          <w:szCs w:val="21"/>
          <w:lang w:val="ro-RO"/>
        </w:rPr>
        <w:t xml:space="preserve"> acoperite: </w:t>
      </w:r>
      <w:r w:rsidR="004B0F2C" w:rsidRPr="003B5A55">
        <w:rPr>
          <w:sz w:val="21"/>
          <w:szCs w:val="21"/>
          <w:lang w:val="ro-RO"/>
        </w:rPr>
        <w:t xml:space="preserve">Garanția Allurion se aplică numai următoarelor </w:t>
      </w:r>
      <w:r w:rsidRPr="003B5A55">
        <w:rPr>
          <w:sz w:val="21"/>
          <w:szCs w:val="21"/>
          <w:lang w:val="ro-RO"/>
        </w:rPr>
        <w:t xml:space="preserve">cazuri </w:t>
      </w:r>
      <w:r w:rsidR="004B0F2C" w:rsidRPr="003B5A55">
        <w:rPr>
          <w:sz w:val="21"/>
          <w:szCs w:val="21"/>
          <w:lang w:val="ro-RO"/>
        </w:rPr>
        <w:t>acoperite (fiecare „</w:t>
      </w:r>
      <w:r w:rsidRPr="003B5A55">
        <w:rPr>
          <w:sz w:val="21"/>
          <w:szCs w:val="21"/>
          <w:lang w:val="ro-RO"/>
        </w:rPr>
        <w:t xml:space="preserve">Caz </w:t>
      </w:r>
      <w:r w:rsidR="004B0F2C" w:rsidRPr="003B5A55">
        <w:rPr>
          <w:sz w:val="21"/>
          <w:szCs w:val="21"/>
          <w:lang w:val="ro-RO"/>
        </w:rPr>
        <w:t>acoperit”) dacă necesită intervenție chirurgicală:</w:t>
      </w:r>
    </w:p>
    <w:p w14:paraId="74B15B95" w14:textId="77777777" w:rsidR="00F81AAD" w:rsidRPr="003B5A55" w:rsidRDefault="00F81AAD">
      <w:pPr>
        <w:rPr>
          <w:sz w:val="21"/>
          <w:szCs w:val="21"/>
          <w:lang w:val="ro-RO"/>
        </w:rPr>
        <w:sectPr w:rsidR="00F81AAD" w:rsidRPr="003B5A55">
          <w:pgSz w:w="12240" w:h="15840"/>
          <w:pgMar w:top="1120" w:right="1060" w:bottom="940" w:left="1220" w:header="0" w:footer="758" w:gutter="0"/>
          <w:cols w:space="720"/>
        </w:sectPr>
      </w:pPr>
    </w:p>
    <w:p w14:paraId="531368CD" w14:textId="77777777" w:rsidR="00F81AAD" w:rsidRPr="003B5A55" w:rsidRDefault="004B0F2C">
      <w:pPr>
        <w:pStyle w:val="ListParagraph"/>
        <w:numPr>
          <w:ilvl w:val="2"/>
          <w:numId w:val="6"/>
        </w:numPr>
        <w:tabs>
          <w:tab w:val="left" w:pos="1659"/>
          <w:tab w:val="left" w:pos="1661"/>
        </w:tabs>
        <w:spacing w:before="40"/>
        <w:ind w:hanging="724"/>
        <w:rPr>
          <w:sz w:val="21"/>
          <w:szCs w:val="21"/>
          <w:lang w:val="ro-RO"/>
        </w:rPr>
      </w:pPr>
      <w:r w:rsidRPr="003B5A55">
        <w:rPr>
          <w:sz w:val="21"/>
          <w:szCs w:val="21"/>
          <w:lang w:val="ro-RO"/>
        </w:rPr>
        <w:lastRenderedPageBreak/>
        <w:t>Pentru balonul Elipse:</w:t>
      </w:r>
    </w:p>
    <w:p w14:paraId="2AA85C1D" w14:textId="77777777" w:rsidR="00F81AAD" w:rsidRPr="003B5A55" w:rsidRDefault="00F81AAD">
      <w:pPr>
        <w:pStyle w:val="BodyText"/>
        <w:rPr>
          <w:sz w:val="21"/>
          <w:szCs w:val="21"/>
          <w:lang w:val="ro-RO"/>
        </w:rPr>
      </w:pPr>
    </w:p>
    <w:p w14:paraId="17E27DA2" w14:textId="77777777" w:rsidR="00F81AAD" w:rsidRPr="003B5A55" w:rsidRDefault="00F81AAD">
      <w:pPr>
        <w:pStyle w:val="BodyText"/>
        <w:spacing w:before="6"/>
        <w:rPr>
          <w:sz w:val="18"/>
          <w:szCs w:val="21"/>
          <w:lang w:val="ro-RO"/>
        </w:rPr>
      </w:pPr>
    </w:p>
    <w:p w14:paraId="66FA730F" w14:textId="6EBFE77B" w:rsidR="00F81AAD" w:rsidRPr="003B5A55" w:rsidRDefault="004B0F2C">
      <w:pPr>
        <w:pStyle w:val="ListParagraph"/>
        <w:numPr>
          <w:ilvl w:val="3"/>
          <w:numId w:val="6"/>
        </w:numPr>
        <w:tabs>
          <w:tab w:val="left" w:pos="2379"/>
          <w:tab w:val="left" w:pos="2380"/>
        </w:tabs>
        <w:ind w:left="2379" w:right="311"/>
        <w:rPr>
          <w:sz w:val="21"/>
          <w:szCs w:val="21"/>
          <w:lang w:val="ro-RO"/>
        </w:rPr>
      </w:pPr>
      <w:r w:rsidRPr="003B5A55">
        <w:rPr>
          <w:sz w:val="21"/>
          <w:szCs w:val="21"/>
          <w:lang w:val="ro-RO"/>
        </w:rPr>
        <w:t xml:space="preserve">Deflația prematură spontană a balonului înainte de 90 de zile în interiorul corpului dă dreptul pacienților la (1) produs fără </w:t>
      </w:r>
      <w:r w:rsidR="002B7D5E" w:rsidRPr="003B5A55">
        <w:rPr>
          <w:sz w:val="21"/>
          <w:szCs w:val="21"/>
          <w:lang w:val="ro-RO"/>
        </w:rPr>
        <w:t xml:space="preserve">costuri </w:t>
      </w:r>
      <w:r w:rsidRPr="003B5A55">
        <w:rPr>
          <w:sz w:val="21"/>
          <w:szCs w:val="21"/>
          <w:lang w:val="ro-RO"/>
        </w:rPr>
        <w:t>trimis la medic pentru a înlocui balonul afectat. Medicii individuali vor stabili dacă pacientul va suporta taxe suplimentare pentru procedura de plasare, dar pacientul nu va fi taxat pentru balonul de înlocuire;</w:t>
      </w:r>
    </w:p>
    <w:p w14:paraId="311D0408" w14:textId="77777777" w:rsidR="00F81AAD" w:rsidRPr="003B5A55" w:rsidRDefault="00F81AAD">
      <w:pPr>
        <w:pStyle w:val="BodyText"/>
        <w:spacing w:before="6"/>
        <w:rPr>
          <w:sz w:val="21"/>
          <w:szCs w:val="21"/>
          <w:lang w:val="ro-RO"/>
        </w:rPr>
      </w:pPr>
    </w:p>
    <w:p w14:paraId="41306ADE" w14:textId="3833BD9B" w:rsidR="00F81AAD" w:rsidRPr="003B5A55" w:rsidRDefault="004B0F2C">
      <w:pPr>
        <w:pStyle w:val="ListParagraph"/>
        <w:numPr>
          <w:ilvl w:val="3"/>
          <w:numId w:val="6"/>
        </w:numPr>
        <w:tabs>
          <w:tab w:val="left" w:pos="2379"/>
          <w:tab w:val="left" w:pos="2380"/>
        </w:tabs>
        <w:ind w:left="2379" w:right="447" w:hanging="720"/>
        <w:rPr>
          <w:sz w:val="21"/>
          <w:szCs w:val="21"/>
          <w:lang w:val="ro-RO"/>
        </w:rPr>
      </w:pPr>
      <w:r w:rsidRPr="003B5A55">
        <w:rPr>
          <w:sz w:val="21"/>
          <w:szCs w:val="21"/>
          <w:lang w:val="ro-RO"/>
        </w:rPr>
        <w:t>Hiperinflația cu aproximativ jumătate din balonul umplut cu gaz care necesită îndepărtare endoscopică dă dreptul pacientului la asistență financiară de până la 8.000 USD. Allurion va plăti cheltuieli</w:t>
      </w:r>
      <w:r w:rsidR="002B7D5E" w:rsidRPr="003B5A55">
        <w:rPr>
          <w:sz w:val="21"/>
          <w:szCs w:val="21"/>
          <w:lang w:val="ro-RO"/>
        </w:rPr>
        <w:t>le</w:t>
      </w:r>
      <w:r w:rsidRPr="003B5A55">
        <w:rPr>
          <w:sz w:val="21"/>
          <w:szCs w:val="21"/>
          <w:lang w:val="ro-RO"/>
        </w:rPr>
        <w:t xml:space="preserve"> de procedură, cheltuielile </w:t>
      </w:r>
      <w:r w:rsidR="002B7D5E" w:rsidRPr="003B5A55">
        <w:rPr>
          <w:sz w:val="21"/>
          <w:szCs w:val="21"/>
          <w:lang w:val="ro-RO"/>
        </w:rPr>
        <w:t xml:space="preserve">pentru </w:t>
      </w:r>
      <w:r w:rsidRPr="003B5A55">
        <w:rPr>
          <w:sz w:val="21"/>
          <w:szCs w:val="21"/>
          <w:lang w:val="ro-RO"/>
        </w:rPr>
        <w:t xml:space="preserve">raze X și cheltuielile endoscopice direct legate de procedura de </w:t>
      </w:r>
      <w:r w:rsidR="002B7D5E" w:rsidRPr="003B5A55">
        <w:rPr>
          <w:sz w:val="21"/>
          <w:szCs w:val="21"/>
          <w:lang w:val="ro-RO"/>
        </w:rPr>
        <w:t xml:space="preserve">revizie </w:t>
      </w:r>
      <w:r w:rsidRPr="003B5A55">
        <w:rPr>
          <w:sz w:val="21"/>
          <w:szCs w:val="21"/>
          <w:lang w:val="ro-RO"/>
        </w:rPr>
        <w:t>și care nu sunt acoperite de asigurare, până la o sumă totală maximă de 8.000 USD;</w:t>
      </w:r>
    </w:p>
    <w:p w14:paraId="798096D2" w14:textId="77777777" w:rsidR="00F81AAD" w:rsidRPr="003B5A55" w:rsidRDefault="00F81AAD">
      <w:pPr>
        <w:pStyle w:val="BodyText"/>
        <w:spacing w:before="8"/>
        <w:rPr>
          <w:sz w:val="21"/>
          <w:szCs w:val="21"/>
          <w:lang w:val="ro-RO"/>
        </w:rPr>
      </w:pPr>
    </w:p>
    <w:p w14:paraId="5526DDC4" w14:textId="542B4C1A" w:rsidR="00F81AAD" w:rsidRPr="003B5A55" w:rsidRDefault="004B0F2C">
      <w:pPr>
        <w:pStyle w:val="ListParagraph"/>
        <w:numPr>
          <w:ilvl w:val="3"/>
          <w:numId w:val="6"/>
        </w:numPr>
        <w:tabs>
          <w:tab w:val="left" w:pos="2379"/>
          <w:tab w:val="left" w:pos="2380"/>
        </w:tabs>
        <w:ind w:left="2379" w:right="586" w:hanging="670"/>
        <w:rPr>
          <w:sz w:val="21"/>
          <w:szCs w:val="21"/>
          <w:lang w:val="ro-RO"/>
        </w:rPr>
      </w:pPr>
      <w:r w:rsidRPr="003B5A55">
        <w:rPr>
          <w:sz w:val="21"/>
          <w:szCs w:val="21"/>
          <w:lang w:val="ro-RO"/>
        </w:rPr>
        <w:t xml:space="preserve">Pancreatita acută care necesită îndepărtare endoscopică </w:t>
      </w:r>
      <w:r w:rsidR="002B7D5E" w:rsidRPr="003B5A55">
        <w:rPr>
          <w:sz w:val="21"/>
          <w:szCs w:val="21"/>
          <w:lang w:val="ro-RO"/>
        </w:rPr>
        <w:t xml:space="preserve">îi </w:t>
      </w:r>
      <w:r w:rsidRPr="003B5A55">
        <w:rPr>
          <w:sz w:val="21"/>
          <w:szCs w:val="21"/>
          <w:lang w:val="ro-RO"/>
        </w:rPr>
        <w:t>dă dreptul pacientului la asistență financiară de până la 8.000 USD. Allurion va plăti cheltuieli</w:t>
      </w:r>
      <w:r w:rsidR="002B7D5E" w:rsidRPr="003B5A55">
        <w:rPr>
          <w:sz w:val="21"/>
          <w:szCs w:val="21"/>
          <w:lang w:val="ro-RO"/>
        </w:rPr>
        <w:t>le</w:t>
      </w:r>
      <w:r w:rsidRPr="003B5A55">
        <w:rPr>
          <w:sz w:val="21"/>
          <w:szCs w:val="21"/>
          <w:lang w:val="ro-RO"/>
        </w:rPr>
        <w:t xml:space="preserve"> de procedură, cheltuielile cu raze X și cheltuielile endoscopice legate direct de procedura de </w:t>
      </w:r>
      <w:r w:rsidR="002B7D5E" w:rsidRPr="003B5A55">
        <w:rPr>
          <w:sz w:val="21"/>
          <w:szCs w:val="21"/>
          <w:lang w:val="ro-RO"/>
        </w:rPr>
        <w:t xml:space="preserve">revizie </w:t>
      </w:r>
      <w:r w:rsidRPr="003B5A55">
        <w:rPr>
          <w:sz w:val="21"/>
          <w:szCs w:val="21"/>
          <w:lang w:val="ro-RO"/>
        </w:rPr>
        <w:t>și neacoperite de asigurare, până la o sumă totală maximă de 8.000 USD;</w:t>
      </w:r>
    </w:p>
    <w:p w14:paraId="4F167C32" w14:textId="77777777" w:rsidR="00F81AAD" w:rsidRPr="003B5A55" w:rsidRDefault="00F81AAD">
      <w:pPr>
        <w:pStyle w:val="BodyText"/>
        <w:spacing w:before="1"/>
        <w:rPr>
          <w:sz w:val="21"/>
          <w:szCs w:val="21"/>
          <w:lang w:val="ro-RO"/>
        </w:rPr>
      </w:pPr>
    </w:p>
    <w:p w14:paraId="2CA77BC2" w14:textId="3E4E6A6C" w:rsidR="00F81AAD" w:rsidRPr="003B5A55" w:rsidRDefault="004B0F2C">
      <w:pPr>
        <w:pStyle w:val="ListParagraph"/>
        <w:numPr>
          <w:ilvl w:val="3"/>
          <w:numId w:val="6"/>
        </w:numPr>
        <w:tabs>
          <w:tab w:val="left" w:pos="2379"/>
          <w:tab w:val="left" w:pos="2380"/>
        </w:tabs>
        <w:ind w:left="2379" w:right="431" w:hanging="720"/>
        <w:rPr>
          <w:sz w:val="21"/>
          <w:szCs w:val="21"/>
          <w:lang w:val="ro-RO"/>
        </w:rPr>
      </w:pPr>
      <w:r w:rsidRPr="003B5A55">
        <w:rPr>
          <w:sz w:val="21"/>
          <w:szCs w:val="21"/>
          <w:lang w:val="ro-RO"/>
        </w:rPr>
        <w:t xml:space="preserve">Perforarea GI care necesită îndepărtarea chirurgicală </w:t>
      </w:r>
      <w:r w:rsidR="002B7D5E" w:rsidRPr="003B5A55">
        <w:rPr>
          <w:sz w:val="21"/>
          <w:szCs w:val="21"/>
          <w:lang w:val="ro-RO"/>
        </w:rPr>
        <w:t xml:space="preserve">le </w:t>
      </w:r>
      <w:r w:rsidRPr="003B5A55">
        <w:rPr>
          <w:sz w:val="21"/>
          <w:szCs w:val="21"/>
          <w:lang w:val="ro-RO"/>
        </w:rPr>
        <w:t>dă dreptul pacienților la asistență financiară de până la 20.000 USD. Allurion va plăti cheltuieli</w:t>
      </w:r>
      <w:r w:rsidR="002B7D5E" w:rsidRPr="003B5A55">
        <w:rPr>
          <w:sz w:val="21"/>
          <w:szCs w:val="21"/>
          <w:lang w:val="ro-RO"/>
        </w:rPr>
        <w:t xml:space="preserve">le </w:t>
      </w:r>
      <w:r w:rsidRPr="003B5A55">
        <w:rPr>
          <w:sz w:val="21"/>
          <w:szCs w:val="21"/>
          <w:lang w:val="ro-RO"/>
        </w:rPr>
        <w:t xml:space="preserve">chirurgicale, sala de operație și cheltuielile de anestezie direct legate de operația de </w:t>
      </w:r>
      <w:r w:rsidR="002B7D5E" w:rsidRPr="003B5A55">
        <w:rPr>
          <w:sz w:val="21"/>
          <w:szCs w:val="21"/>
          <w:lang w:val="ro-RO"/>
        </w:rPr>
        <w:t xml:space="preserve">revizie </w:t>
      </w:r>
      <w:r w:rsidRPr="003B5A55">
        <w:rPr>
          <w:sz w:val="21"/>
          <w:szCs w:val="21"/>
          <w:lang w:val="ro-RO"/>
        </w:rPr>
        <w:t>și care nu sunt acoperite de asigurare, până la o sumă totală maximă de 20.000 USD; sau</w:t>
      </w:r>
    </w:p>
    <w:p w14:paraId="3043830A" w14:textId="77777777" w:rsidR="00F81AAD" w:rsidRPr="003B5A55" w:rsidRDefault="00F81AAD">
      <w:pPr>
        <w:pStyle w:val="BodyText"/>
        <w:spacing w:before="11"/>
        <w:rPr>
          <w:sz w:val="18"/>
          <w:szCs w:val="21"/>
          <w:lang w:val="ro-RO"/>
        </w:rPr>
      </w:pPr>
    </w:p>
    <w:p w14:paraId="2906EE00" w14:textId="13D77506" w:rsidR="00F81AAD" w:rsidRPr="003B5A55" w:rsidRDefault="004B0F2C">
      <w:pPr>
        <w:pStyle w:val="ListParagraph"/>
        <w:numPr>
          <w:ilvl w:val="3"/>
          <w:numId w:val="6"/>
        </w:numPr>
        <w:tabs>
          <w:tab w:val="left" w:pos="2379"/>
          <w:tab w:val="left" w:pos="2381"/>
        </w:tabs>
        <w:ind w:right="109" w:hanging="721"/>
        <w:rPr>
          <w:sz w:val="21"/>
          <w:szCs w:val="21"/>
          <w:lang w:val="ro-RO"/>
        </w:rPr>
      </w:pPr>
      <w:r w:rsidRPr="003B5A55">
        <w:rPr>
          <w:sz w:val="21"/>
          <w:szCs w:val="21"/>
          <w:lang w:val="ro-RO"/>
        </w:rPr>
        <w:t xml:space="preserve">Obstrucția intestinului subțire care necesită îndepărtarea chirurgicală </w:t>
      </w:r>
      <w:r w:rsidR="002B7D5E" w:rsidRPr="003B5A55">
        <w:rPr>
          <w:sz w:val="21"/>
          <w:szCs w:val="21"/>
          <w:lang w:val="ro-RO"/>
        </w:rPr>
        <w:t xml:space="preserve">le </w:t>
      </w:r>
      <w:r w:rsidRPr="003B5A55">
        <w:rPr>
          <w:sz w:val="21"/>
          <w:szCs w:val="21"/>
          <w:lang w:val="ro-RO"/>
        </w:rPr>
        <w:t xml:space="preserve">dă dreptul pacienților la asistență financiară de până la 12.000 USD. Allurion va plăti cheltuielile chirurgicale, sala de operație și cheltuielile de anestezie legate direct de chirurgia de </w:t>
      </w:r>
      <w:r w:rsidR="002B7D5E" w:rsidRPr="003B5A55">
        <w:rPr>
          <w:sz w:val="21"/>
          <w:szCs w:val="21"/>
          <w:lang w:val="ro-RO"/>
        </w:rPr>
        <w:t xml:space="preserve">revizie </w:t>
      </w:r>
      <w:r w:rsidRPr="003B5A55">
        <w:rPr>
          <w:sz w:val="21"/>
          <w:szCs w:val="21"/>
          <w:lang w:val="ro-RO"/>
        </w:rPr>
        <w:t>și care nu sunt acoperite de asigurare, până la o sumă totală maximă de 12.000 USD.</w:t>
      </w:r>
    </w:p>
    <w:p w14:paraId="09E547E6" w14:textId="77777777" w:rsidR="00F81AAD" w:rsidRPr="003B5A55" w:rsidRDefault="00F81AAD">
      <w:pPr>
        <w:pStyle w:val="BodyText"/>
        <w:spacing w:before="6"/>
        <w:rPr>
          <w:sz w:val="18"/>
          <w:szCs w:val="21"/>
          <w:lang w:val="ro-RO"/>
        </w:rPr>
      </w:pPr>
    </w:p>
    <w:p w14:paraId="3C040A7D" w14:textId="498287AD" w:rsidR="00F81AAD" w:rsidRPr="003B5A55" w:rsidRDefault="004B0F2C">
      <w:pPr>
        <w:pStyle w:val="BodyText"/>
        <w:spacing w:before="1"/>
        <w:ind w:left="940" w:right="865"/>
        <w:rPr>
          <w:sz w:val="21"/>
          <w:szCs w:val="21"/>
          <w:lang w:val="ro-RO"/>
        </w:rPr>
      </w:pPr>
      <w:r w:rsidRPr="003B5A55">
        <w:rPr>
          <w:sz w:val="21"/>
          <w:szCs w:val="21"/>
          <w:lang w:val="ro-RO"/>
        </w:rPr>
        <w:t xml:space="preserve">Garanția Allurion se poate aplica, de asemenea, altor pierderi de integritate ale produsului, care nu sunt excluse în mod specific, sub rezerva </w:t>
      </w:r>
      <w:r w:rsidR="002B7D5E" w:rsidRPr="003B5A55">
        <w:rPr>
          <w:sz w:val="21"/>
          <w:szCs w:val="21"/>
          <w:lang w:val="ro-RO"/>
        </w:rPr>
        <w:t xml:space="preserve">reviziei </w:t>
      </w:r>
      <w:r w:rsidRPr="003B5A55">
        <w:rPr>
          <w:sz w:val="21"/>
          <w:szCs w:val="21"/>
          <w:lang w:val="ro-RO"/>
        </w:rPr>
        <w:t>și aprobării de către Allurion.</w:t>
      </w:r>
    </w:p>
    <w:p w14:paraId="02131F47" w14:textId="77777777" w:rsidR="00F81AAD" w:rsidRPr="003B5A55" w:rsidRDefault="00F81AAD">
      <w:pPr>
        <w:pStyle w:val="BodyText"/>
        <w:spacing w:before="8"/>
        <w:rPr>
          <w:sz w:val="18"/>
          <w:szCs w:val="21"/>
          <w:lang w:val="ro-RO"/>
        </w:rPr>
      </w:pPr>
    </w:p>
    <w:p w14:paraId="32A38D4F" w14:textId="59A70D4D" w:rsidR="00F81AAD" w:rsidRPr="003B5A55" w:rsidRDefault="002B7D5E">
      <w:pPr>
        <w:pStyle w:val="ListParagraph"/>
        <w:numPr>
          <w:ilvl w:val="1"/>
          <w:numId w:val="6"/>
        </w:numPr>
        <w:tabs>
          <w:tab w:val="left" w:pos="980"/>
          <w:tab w:val="left" w:pos="981"/>
        </w:tabs>
        <w:ind w:left="980"/>
        <w:rPr>
          <w:sz w:val="21"/>
          <w:szCs w:val="21"/>
          <w:lang w:val="ro-RO"/>
        </w:rPr>
      </w:pPr>
      <w:r w:rsidRPr="003B5A55">
        <w:rPr>
          <w:b/>
          <w:sz w:val="21"/>
          <w:szCs w:val="21"/>
          <w:lang w:val="ro-RO"/>
        </w:rPr>
        <w:t xml:space="preserve">Cazuri </w:t>
      </w:r>
      <w:r w:rsidR="004B0F2C" w:rsidRPr="003B5A55">
        <w:rPr>
          <w:b/>
          <w:sz w:val="21"/>
          <w:szCs w:val="21"/>
          <w:lang w:val="ro-RO"/>
        </w:rPr>
        <w:t>neacoperite:</w:t>
      </w:r>
      <w:r w:rsidRPr="003B5A55">
        <w:rPr>
          <w:b/>
          <w:sz w:val="21"/>
          <w:szCs w:val="21"/>
          <w:lang w:val="ro-RO"/>
        </w:rPr>
        <w:t xml:space="preserve"> </w:t>
      </w:r>
      <w:r w:rsidR="004B0F2C" w:rsidRPr="003B5A55">
        <w:rPr>
          <w:sz w:val="21"/>
          <w:szCs w:val="21"/>
          <w:lang w:val="ro-RO"/>
        </w:rPr>
        <w:t>Garanția Allurion nu se aplică:</w:t>
      </w:r>
    </w:p>
    <w:p w14:paraId="4770D11D" w14:textId="77777777" w:rsidR="00F81AAD" w:rsidRPr="003B5A55" w:rsidRDefault="00F81AAD">
      <w:pPr>
        <w:pStyle w:val="BodyText"/>
        <w:spacing w:before="6"/>
        <w:rPr>
          <w:sz w:val="18"/>
          <w:szCs w:val="21"/>
          <w:lang w:val="ro-RO"/>
        </w:rPr>
      </w:pPr>
    </w:p>
    <w:p w14:paraId="4FA46C2A" w14:textId="7E63AC13" w:rsidR="00F81AAD" w:rsidRPr="003B5A55" w:rsidRDefault="004B0F2C" w:rsidP="00940EAE">
      <w:pPr>
        <w:pStyle w:val="ListParagraph"/>
        <w:numPr>
          <w:ilvl w:val="2"/>
          <w:numId w:val="6"/>
        </w:numPr>
        <w:tabs>
          <w:tab w:val="left" w:pos="1659"/>
          <w:tab w:val="left" w:pos="1661"/>
        </w:tabs>
        <w:spacing w:before="7"/>
        <w:ind w:right="272" w:hanging="724"/>
        <w:rPr>
          <w:sz w:val="21"/>
          <w:szCs w:val="21"/>
          <w:lang w:val="ro-RO"/>
        </w:rPr>
      </w:pPr>
      <w:r w:rsidRPr="003B5A55">
        <w:rPr>
          <w:sz w:val="21"/>
          <w:szCs w:val="21"/>
          <w:lang w:val="ro-RO"/>
        </w:rPr>
        <w:t>Deși studiile clinice au arătat că pacienții pierd în medie 10-15 kg,</w:t>
      </w:r>
      <w:r w:rsidR="002B7D5E" w:rsidRPr="003B5A55">
        <w:rPr>
          <w:sz w:val="21"/>
          <w:szCs w:val="21"/>
          <w:lang w:val="ro-RO"/>
        </w:rPr>
        <w:t xml:space="preserve"> </w:t>
      </w:r>
      <w:r w:rsidRPr="003B5A55">
        <w:rPr>
          <w:sz w:val="21"/>
          <w:szCs w:val="21"/>
          <w:lang w:val="ro-RO"/>
        </w:rPr>
        <w:t>Allurion nu garantează că orice pacient va pierde în greutate sau cât va pierde în greutate orice persoană și această garanție nu acoperă pierderea în greutate care nu îndeplinește media acestui studiu clinic și / sau așteptările pacientului;</w:t>
      </w:r>
    </w:p>
    <w:p w14:paraId="71D675A0" w14:textId="77777777" w:rsidR="00F81AAD" w:rsidRPr="003B5A55" w:rsidRDefault="00F81AAD">
      <w:pPr>
        <w:pStyle w:val="BodyText"/>
        <w:spacing w:before="4"/>
        <w:rPr>
          <w:sz w:val="18"/>
          <w:szCs w:val="21"/>
          <w:lang w:val="ro-RO"/>
        </w:rPr>
      </w:pPr>
    </w:p>
    <w:p w14:paraId="4B6B6A51" w14:textId="77777777" w:rsidR="00F81AAD" w:rsidRPr="003B5A55" w:rsidRDefault="004B0F2C">
      <w:pPr>
        <w:pStyle w:val="ListParagraph"/>
        <w:numPr>
          <w:ilvl w:val="2"/>
          <w:numId w:val="6"/>
        </w:numPr>
        <w:tabs>
          <w:tab w:val="left" w:pos="1659"/>
          <w:tab w:val="left" w:pos="1661"/>
        </w:tabs>
        <w:ind w:right="193"/>
        <w:rPr>
          <w:sz w:val="21"/>
          <w:szCs w:val="21"/>
          <w:lang w:val="ro-RO"/>
        </w:rPr>
      </w:pPr>
      <w:r w:rsidRPr="003B5A55">
        <w:rPr>
          <w:sz w:val="21"/>
          <w:szCs w:val="21"/>
          <w:lang w:val="ro-RO"/>
        </w:rPr>
        <w:t>Baloanele gastrice pot provoca diferite grade de disconfort și alte simptome de intoleranță, care uneori pot duce la îndepărtarea endoscopică prematură, dar garanția nu acoperă îndepărtarea endoscopică care nu este însoțită de o altă cerere acoperită descrisă la 2 (a);</w:t>
      </w:r>
    </w:p>
    <w:p w14:paraId="72DA948B" w14:textId="77777777" w:rsidR="00F81AAD" w:rsidRPr="003B5A55" w:rsidRDefault="00F81AAD">
      <w:pPr>
        <w:pStyle w:val="BodyText"/>
        <w:spacing w:before="9"/>
        <w:rPr>
          <w:sz w:val="18"/>
          <w:szCs w:val="21"/>
          <w:lang w:val="ro-RO"/>
        </w:rPr>
      </w:pPr>
    </w:p>
    <w:p w14:paraId="468180A5" w14:textId="6ABD8205" w:rsidR="00F81AAD" w:rsidRPr="003B5A55" w:rsidRDefault="004B0F2C">
      <w:pPr>
        <w:pStyle w:val="ListParagraph"/>
        <w:numPr>
          <w:ilvl w:val="2"/>
          <w:numId w:val="6"/>
        </w:numPr>
        <w:tabs>
          <w:tab w:val="left" w:pos="1659"/>
          <w:tab w:val="left" w:pos="1661"/>
        </w:tabs>
        <w:ind w:hanging="724"/>
        <w:rPr>
          <w:sz w:val="21"/>
          <w:szCs w:val="21"/>
          <w:lang w:val="ro-RO"/>
        </w:rPr>
      </w:pPr>
      <w:r w:rsidRPr="003B5A55">
        <w:rPr>
          <w:sz w:val="21"/>
          <w:szCs w:val="21"/>
          <w:lang w:val="ro-RO"/>
        </w:rPr>
        <w:t xml:space="preserve">Evenimente adverse cauzate de utilizarea </w:t>
      </w:r>
      <w:r w:rsidR="002B7D5E" w:rsidRPr="003B5A55">
        <w:rPr>
          <w:sz w:val="21"/>
          <w:szCs w:val="21"/>
          <w:lang w:val="ro-RO"/>
        </w:rPr>
        <w:t xml:space="preserve">off-label </w:t>
      </w:r>
      <w:r w:rsidRPr="003B5A55">
        <w:rPr>
          <w:sz w:val="21"/>
          <w:szCs w:val="21"/>
          <w:lang w:val="ro-RO"/>
        </w:rPr>
        <w:t>sau contraindicată;</w:t>
      </w:r>
    </w:p>
    <w:p w14:paraId="7131265C" w14:textId="77777777" w:rsidR="00F81AAD" w:rsidRPr="003B5A55" w:rsidRDefault="00F81AAD">
      <w:pPr>
        <w:pStyle w:val="BodyText"/>
        <w:spacing w:before="10"/>
        <w:rPr>
          <w:sz w:val="20"/>
          <w:szCs w:val="21"/>
          <w:lang w:val="ro-RO"/>
        </w:rPr>
      </w:pPr>
    </w:p>
    <w:p w14:paraId="05999142" w14:textId="77777777" w:rsidR="00F81AAD" w:rsidRPr="003B5A55" w:rsidRDefault="004B0F2C">
      <w:pPr>
        <w:pStyle w:val="ListParagraph"/>
        <w:numPr>
          <w:ilvl w:val="2"/>
          <w:numId w:val="6"/>
        </w:numPr>
        <w:tabs>
          <w:tab w:val="left" w:pos="1659"/>
          <w:tab w:val="left" w:pos="1660"/>
        </w:tabs>
        <w:ind w:left="1659"/>
        <w:rPr>
          <w:sz w:val="21"/>
          <w:szCs w:val="21"/>
          <w:lang w:val="ro-RO"/>
        </w:rPr>
      </w:pPr>
      <w:r w:rsidRPr="003B5A55">
        <w:rPr>
          <w:sz w:val="21"/>
          <w:szCs w:val="21"/>
          <w:lang w:val="ro-RO"/>
        </w:rPr>
        <w:t>neglijență sau utilizare greșită legată de medic sau pacient;</w:t>
      </w:r>
    </w:p>
    <w:p w14:paraId="6F6651F0" w14:textId="77777777" w:rsidR="00F81AAD" w:rsidRPr="003B5A55" w:rsidRDefault="00F81AAD">
      <w:pPr>
        <w:rPr>
          <w:sz w:val="21"/>
          <w:szCs w:val="21"/>
          <w:lang w:val="ro-RO"/>
        </w:rPr>
        <w:sectPr w:rsidR="00F81AAD" w:rsidRPr="003B5A55">
          <w:pgSz w:w="12240" w:h="15840"/>
          <w:pgMar w:top="1080" w:right="1060" w:bottom="940" w:left="1220" w:header="0" w:footer="758" w:gutter="0"/>
          <w:cols w:space="720"/>
        </w:sectPr>
      </w:pPr>
    </w:p>
    <w:p w14:paraId="43625089" w14:textId="1012388F" w:rsidR="00F81AAD" w:rsidRPr="003B5A55" w:rsidRDefault="004B0F2C">
      <w:pPr>
        <w:pStyle w:val="BodyText"/>
        <w:spacing w:before="95" w:line="237" w:lineRule="auto"/>
        <w:ind w:left="940" w:right="501"/>
        <w:rPr>
          <w:sz w:val="21"/>
          <w:szCs w:val="21"/>
          <w:lang w:val="ro-RO"/>
        </w:rPr>
      </w:pPr>
      <w:r w:rsidRPr="003B5A55">
        <w:rPr>
          <w:sz w:val="21"/>
          <w:szCs w:val="21"/>
          <w:lang w:val="ro-RO"/>
        </w:rPr>
        <w:lastRenderedPageBreak/>
        <w:t xml:space="preserve">Garanția Allurion exclude alte evenimente în afara </w:t>
      </w:r>
      <w:r w:rsidR="002B7D5E" w:rsidRPr="003B5A55">
        <w:rPr>
          <w:sz w:val="21"/>
          <w:szCs w:val="21"/>
          <w:lang w:val="ro-RO"/>
        </w:rPr>
        <w:t xml:space="preserve">celor </w:t>
      </w:r>
      <w:r w:rsidRPr="003B5A55">
        <w:rPr>
          <w:sz w:val="21"/>
          <w:szCs w:val="21"/>
          <w:lang w:val="ro-RO"/>
        </w:rPr>
        <w:t xml:space="preserve">acoperite </w:t>
      </w:r>
      <w:r w:rsidR="002B7D5E" w:rsidRPr="003B5A55">
        <w:rPr>
          <w:sz w:val="21"/>
          <w:szCs w:val="21"/>
          <w:lang w:val="ro-RO"/>
        </w:rPr>
        <w:t xml:space="preserve">și </w:t>
      </w:r>
      <w:r w:rsidRPr="003B5A55">
        <w:rPr>
          <w:sz w:val="21"/>
          <w:szCs w:val="21"/>
          <w:lang w:val="ro-RO"/>
        </w:rPr>
        <w:t>enumerate în secțiunea A.2 (a) de mai sus.</w:t>
      </w:r>
    </w:p>
    <w:p w14:paraId="2DB8646C" w14:textId="77777777" w:rsidR="00F81AAD" w:rsidRPr="003B5A55" w:rsidRDefault="00F81AAD">
      <w:pPr>
        <w:pStyle w:val="BodyText"/>
        <w:spacing w:before="9"/>
        <w:rPr>
          <w:sz w:val="18"/>
          <w:szCs w:val="21"/>
          <w:lang w:val="ro-RO"/>
        </w:rPr>
      </w:pPr>
    </w:p>
    <w:p w14:paraId="15F1561C" w14:textId="4F09B17B" w:rsidR="00F81AAD" w:rsidRPr="003B5A55" w:rsidRDefault="002B7D5E">
      <w:pPr>
        <w:pStyle w:val="ListParagraph"/>
        <w:numPr>
          <w:ilvl w:val="1"/>
          <w:numId w:val="6"/>
        </w:numPr>
        <w:tabs>
          <w:tab w:val="left" w:pos="939"/>
          <w:tab w:val="left" w:pos="941"/>
        </w:tabs>
        <w:rPr>
          <w:sz w:val="21"/>
          <w:szCs w:val="21"/>
          <w:lang w:val="ro-RO"/>
        </w:rPr>
      </w:pPr>
      <w:r w:rsidRPr="003B5A55">
        <w:rPr>
          <w:b/>
          <w:sz w:val="21"/>
          <w:szCs w:val="21"/>
          <w:lang w:val="ro-RO"/>
        </w:rPr>
        <w:t>Chitanță descărcare</w:t>
      </w:r>
      <w:r w:rsidR="004B0F2C" w:rsidRPr="003B5A55">
        <w:rPr>
          <w:b/>
          <w:sz w:val="21"/>
          <w:szCs w:val="21"/>
          <w:lang w:val="ro-RO"/>
        </w:rPr>
        <w:t>:</w:t>
      </w:r>
      <w:r w:rsidRPr="003B5A55">
        <w:rPr>
          <w:b/>
          <w:sz w:val="21"/>
          <w:szCs w:val="21"/>
          <w:lang w:val="ro-RO"/>
        </w:rPr>
        <w:t xml:space="preserve"> </w:t>
      </w:r>
      <w:r w:rsidR="004B0F2C" w:rsidRPr="003B5A55">
        <w:rPr>
          <w:sz w:val="21"/>
          <w:szCs w:val="21"/>
          <w:lang w:val="ro-RO"/>
        </w:rPr>
        <w:t xml:space="preserve">Pacienții trebuie să </w:t>
      </w:r>
      <w:r w:rsidRPr="003B5A55">
        <w:rPr>
          <w:sz w:val="21"/>
          <w:szCs w:val="21"/>
          <w:lang w:val="ro-RO"/>
        </w:rPr>
        <w:t xml:space="preserve">îi </w:t>
      </w:r>
      <w:r w:rsidR="004B0F2C" w:rsidRPr="003B5A55">
        <w:rPr>
          <w:sz w:val="21"/>
          <w:szCs w:val="21"/>
          <w:lang w:val="ro-RO"/>
        </w:rPr>
        <w:t xml:space="preserve">furnizeze </w:t>
      </w:r>
      <w:r w:rsidRPr="003B5A55">
        <w:rPr>
          <w:sz w:val="21"/>
          <w:szCs w:val="21"/>
          <w:lang w:val="ro-RO"/>
        </w:rPr>
        <w:t xml:space="preserve">lui </w:t>
      </w:r>
      <w:r w:rsidR="004B0F2C" w:rsidRPr="003B5A55">
        <w:rPr>
          <w:sz w:val="21"/>
          <w:szCs w:val="21"/>
          <w:lang w:val="ro-RO"/>
        </w:rPr>
        <w:t xml:space="preserve">Allurion o </w:t>
      </w:r>
      <w:r w:rsidRPr="003B5A55">
        <w:rPr>
          <w:sz w:val="21"/>
          <w:szCs w:val="21"/>
          <w:lang w:val="ro-RO"/>
        </w:rPr>
        <w:t xml:space="preserve">chitanță </w:t>
      </w:r>
      <w:r w:rsidR="004B0F2C" w:rsidRPr="003B5A55">
        <w:rPr>
          <w:sz w:val="21"/>
          <w:szCs w:val="21"/>
          <w:lang w:val="ro-RO"/>
        </w:rPr>
        <w:t>generală semnată, pentru a obține rambursarea.</w:t>
      </w:r>
    </w:p>
    <w:p w14:paraId="66811F99" w14:textId="77777777" w:rsidR="00F81AAD" w:rsidRPr="003B5A55" w:rsidRDefault="00F81AAD">
      <w:pPr>
        <w:pStyle w:val="BodyText"/>
        <w:rPr>
          <w:sz w:val="21"/>
          <w:szCs w:val="21"/>
          <w:lang w:val="ro-RO"/>
        </w:rPr>
      </w:pPr>
    </w:p>
    <w:p w14:paraId="02A62FF7" w14:textId="77777777" w:rsidR="00F81AAD" w:rsidRPr="003B5A55" w:rsidRDefault="00F81AAD">
      <w:pPr>
        <w:pStyle w:val="BodyText"/>
        <w:spacing w:before="8"/>
        <w:rPr>
          <w:sz w:val="18"/>
          <w:szCs w:val="21"/>
          <w:lang w:val="ro-RO"/>
        </w:rPr>
      </w:pPr>
    </w:p>
    <w:p w14:paraId="3C8AC21D" w14:textId="70EB7982" w:rsidR="00F81AAD" w:rsidRPr="003B5A55" w:rsidRDefault="004B0F2C">
      <w:pPr>
        <w:pStyle w:val="Heading1"/>
        <w:numPr>
          <w:ilvl w:val="0"/>
          <w:numId w:val="6"/>
        </w:numPr>
        <w:tabs>
          <w:tab w:val="left" w:pos="939"/>
          <w:tab w:val="left" w:pos="941"/>
        </w:tabs>
        <w:ind w:hanging="724"/>
        <w:rPr>
          <w:sz w:val="21"/>
          <w:szCs w:val="21"/>
          <w:lang w:val="ro-RO"/>
        </w:rPr>
      </w:pPr>
      <w:bookmarkStart w:id="2" w:name="B._PATIENT_INFORMATION_ON_THE_ALLURION_W"/>
      <w:bookmarkEnd w:id="2"/>
      <w:r w:rsidRPr="003B5A55">
        <w:rPr>
          <w:sz w:val="21"/>
          <w:szCs w:val="21"/>
          <w:lang w:val="ro-RO"/>
        </w:rPr>
        <w:t>INFORMAȚII</w:t>
      </w:r>
      <w:r w:rsidR="002B7D5E" w:rsidRPr="003B5A55">
        <w:rPr>
          <w:sz w:val="21"/>
          <w:szCs w:val="21"/>
          <w:lang w:val="ro-RO"/>
        </w:rPr>
        <w:t>LE</w:t>
      </w:r>
      <w:r w:rsidRPr="003B5A55">
        <w:rPr>
          <w:sz w:val="21"/>
          <w:szCs w:val="21"/>
          <w:lang w:val="ro-RO"/>
        </w:rPr>
        <w:t xml:space="preserve"> PACIENTULUI PRIVIND GARANȚIA </w:t>
      </w:r>
      <w:r w:rsidR="002B7D5E" w:rsidRPr="003B5A55">
        <w:rPr>
          <w:sz w:val="21"/>
          <w:szCs w:val="21"/>
          <w:lang w:val="ro-RO"/>
        </w:rPr>
        <w:t>ALLURION</w:t>
      </w:r>
    </w:p>
    <w:p w14:paraId="3245B2E5" w14:textId="77777777" w:rsidR="00F81AAD" w:rsidRPr="003B5A55" w:rsidRDefault="00F81AAD">
      <w:pPr>
        <w:pStyle w:val="BodyText"/>
        <w:spacing w:before="6"/>
        <w:rPr>
          <w:b/>
          <w:sz w:val="18"/>
          <w:szCs w:val="21"/>
          <w:lang w:val="ro-RO"/>
        </w:rPr>
      </w:pPr>
    </w:p>
    <w:p w14:paraId="36ECDC4D" w14:textId="188181BD" w:rsidR="00F81AAD" w:rsidRPr="003B5A55" w:rsidRDefault="004B0F2C">
      <w:pPr>
        <w:pStyle w:val="BodyText"/>
        <w:ind w:left="220" w:right="363"/>
        <w:jc w:val="both"/>
        <w:rPr>
          <w:sz w:val="21"/>
          <w:szCs w:val="21"/>
          <w:lang w:val="ro-RO"/>
        </w:rPr>
      </w:pPr>
      <w:r w:rsidRPr="003B5A55">
        <w:rPr>
          <w:sz w:val="21"/>
          <w:szCs w:val="21"/>
          <w:lang w:val="ro-RO"/>
        </w:rPr>
        <w:t xml:space="preserve">Înainte de procedură, medicul trebuie să </w:t>
      </w:r>
      <w:r w:rsidR="002B7D5E" w:rsidRPr="003B5A55">
        <w:rPr>
          <w:sz w:val="21"/>
          <w:szCs w:val="21"/>
          <w:lang w:val="ro-RO"/>
        </w:rPr>
        <w:t xml:space="preserve">îi </w:t>
      </w:r>
      <w:r w:rsidRPr="003B5A55">
        <w:rPr>
          <w:sz w:val="21"/>
          <w:szCs w:val="21"/>
          <w:lang w:val="ro-RO"/>
        </w:rPr>
        <w:t xml:space="preserve">explice pacientului detaliile garanției Allurion, inclusiv înlocuirea produsului și să </w:t>
      </w:r>
      <w:r w:rsidR="002B7D5E" w:rsidRPr="003B5A55">
        <w:rPr>
          <w:sz w:val="21"/>
          <w:szCs w:val="21"/>
          <w:lang w:val="ro-RO"/>
        </w:rPr>
        <w:t xml:space="preserve">îi </w:t>
      </w:r>
      <w:r w:rsidRPr="003B5A55">
        <w:rPr>
          <w:sz w:val="21"/>
          <w:szCs w:val="21"/>
          <w:lang w:val="ro-RO"/>
        </w:rPr>
        <w:t xml:space="preserve">ofere pacientului acces la o copie a acestui document. Pe lângă explicarea termenilor garanției Allurion și înlocuirii produsului, medicul trebuie să revizuiască împreună cu pacientul IFU-ul dispozitivului </w:t>
      </w:r>
      <w:r w:rsidR="002B7D5E" w:rsidRPr="003B5A55">
        <w:rPr>
          <w:sz w:val="21"/>
          <w:szCs w:val="21"/>
          <w:lang w:val="ro-RO"/>
        </w:rPr>
        <w:t xml:space="preserve">pus la dispoziție </w:t>
      </w:r>
      <w:r w:rsidRPr="003B5A55">
        <w:rPr>
          <w:sz w:val="21"/>
          <w:szCs w:val="21"/>
          <w:lang w:val="ro-RO"/>
        </w:rPr>
        <w:t>de Allurion, descriind beneficiile și riscurile unei proceduri cu balon gastric. O copie digitală a acestui eIFU poate fi găsită la</w:t>
      </w:r>
      <w:r w:rsidR="002B7D5E" w:rsidRPr="003B5A55">
        <w:rPr>
          <w:sz w:val="21"/>
          <w:szCs w:val="21"/>
          <w:lang w:val="ro-RO"/>
        </w:rPr>
        <w:t xml:space="preserve"> </w:t>
      </w:r>
      <w:hyperlink r:id="rId8" w:history="1">
        <w:r w:rsidR="002B7D5E" w:rsidRPr="003B5A55">
          <w:rPr>
            <w:rStyle w:val="Hyperlink"/>
            <w:sz w:val="21"/>
            <w:szCs w:val="21"/>
            <w:lang w:val="ro-RO"/>
          </w:rPr>
          <w:t>https://allurion.com/quality-risk-information</w:t>
        </w:r>
      </w:hyperlink>
      <w:r w:rsidRPr="003B5A55">
        <w:rPr>
          <w:sz w:val="21"/>
          <w:szCs w:val="21"/>
          <w:lang w:val="ro-RO"/>
        </w:rPr>
        <w:t>.</w:t>
      </w:r>
    </w:p>
    <w:p w14:paraId="37CC3909" w14:textId="77777777" w:rsidR="00F81AAD" w:rsidRPr="003B5A55" w:rsidRDefault="00F81AAD">
      <w:pPr>
        <w:pStyle w:val="BodyText"/>
        <w:spacing w:before="11"/>
        <w:rPr>
          <w:sz w:val="18"/>
          <w:szCs w:val="21"/>
          <w:lang w:val="ro-RO"/>
        </w:rPr>
      </w:pPr>
    </w:p>
    <w:p w14:paraId="30B4D78D" w14:textId="29B745EC" w:rsidR="00F81AAD" w:rsidRPr="003B5A55" w:rsidRDefault="002B7D5E">
      <w:pPr>
        <w:pStyle w:val="Heading1"/>
        <w:numPr>
          <w:ilvl w:val="0"/>
          <w:numId w:val="6"/>
        </w:numPr>
        <w:tabs>
          <w:tab w:val="left" w:pos="939"/>
          <w:tab w:val="left" w:pos="940"/>
        </w:tabs>
        <w:spacing w:before="56"/>
        <w:ind w:left="939"/>
        <w:rPr>
          <w:sz w:val="21"/>
          <w:szCs w:val="21"/>
          <w:lang w:val="ro-RO"/>
        </w:rPr>
      </w:pPr>
      <w:bookmarkStart w:id="3" w:name="C._FILING_A_CLAIM"/>
      <w:bookmarkEnd w:id="3"/>
      <w:r w:rsidRPr="003B5A55">
        <w:rPr>
          <w:sz w:val="21"/>
          <w:szCs w:val="21"/>
          <w:lang w:val="ro-RO"/>
        </w:rPr>
        <w:t xml:space="preserve">DEPUNEREA UNEI PLÂNGERI </w:t>
      </w:r>
    </w:p>
    <w:p w14:paraId="24BE086D" w14:textId="77777777" w:rsidR="00F81AAD" w:rsidRPr="003B5A55" w:rsidRDefault="00F81AAD">
      <w:pPr>
        <w:pStyle w:val="BodyText"/>
        <w:spacing w:before="8"/>
        <w:rPr>
          <w:b/>
          <w:sz w:val="18"/>
          <w:szCs w:val="21"/>
          <w:lang w:val="ro-RO"/>
        </w:rPr>
      </w:pPr>
    </w:p>
    <w:p w14:paraId="29560D06" w14:textId="501E0678" w:rsidR="00F81AAD" w:rsidRPr="003B5A55" w:rsidRDefault="002B7D5E">
      <w:pPr>
        <w:pStyle w:val="BodyText"/>
        <w:ind w:left="220" w:right="299"/>
        <w:rPr>
          <w:sz w:val="21"/>
          <w:szCs w:val="21"/>
          <w:lang w:val="ro-RO"/>
        </w:rPr>
      </w:pPr>
      <w:r w:rsidRPr="003B5A55">
        <w:rPr>
          <w:sz w:val="21"/>
          <w:szCs w:val="21"/>
          <w:lang w:val="ro-RO"/>
        </w:rPr>
        <w:t xml:space="preserve">În cazul unui </w:t>
      </w:r>
      <w:r w:rsidR="004B0F2C" w:rsidRPr="003B5A55">
        <w:rPr>
          <w:sz w:val="21"/>
          <w:szCs w:val="21"/>
          <w:lang w:val="ro-RO"/>
        </w:rPr>
        <w:t>eveniment acoperit, medicul trebuie să contacteze Departamentul de Supraveghere a Produsului Allurion pentru a obține instrucțiuni prin e-mail la adresa</w:t>
      </w:r>
      <w:r w:rsidRPr="003B5A55">
        <w:rPr>
          <w:sz w:val="21"/>
          <w:szCs w:val="21"/>
          <w:lang w:val="ro-RO"/>
        </w:rPr>
        <w:t xml:space="preserve"> </w:t>
      </w:r>
      <w:hyperlink r:id="rId9" w:history="1">
        <w:r w:rsidRPr="003B5A55">
          <w:rPr>
            <w:rStyle w:val="Hyperlink"/>
            <w:sz w:val="21"/>
            <w:szCs w:val="21"/>
            <w:lang w:val="ro-RO"/>
          </w:rPr>
          <w:t>complaints@Allurion.com.</w:t>
        </w:r>
      </w:hyperlink>
    </w:p>
    <w:p w14:paraId="653E6755" w14:textId="77777777" w:rsidR="00F81AAD" w:rsidRPr="003B5A55" w:rsidRDefault="00F81AAD">
      <w:pPr>
        <w:pStyle w:val="BodyText"/>
        <w:spacing w:before="6"/>
        <w:rPr>
          <w:sz w:val="16"/>
          <w:szCs w:val="21"/>
          <w:lang w:val="ro-RO"/>
        </w:rPr>
      </w:pPr>
    </w:p>
    <w:p w14:paraId="260F2503" w14:textId="0AE92EBB" w:rsidR="00F81AAD" w:rsidRPr="003B5A55" w:rsidRDefault="004B0F2C">
      <w:pPr>
        <w:pStyle w:val="BodyText"/>
        <w:spacing w:before="56"/>
        <w:ind w:left="210" w:right="425"/>
        <w:rPr>
          <w:sz w:val="21"/>
          <w:szCs w:val="21"/>
          <w:lang w:val="ro-RO"/>
        </w:rPr>
      </w:pPr>
      <w:r w:rsidRPr="003B5A55">
        <w:rPr>
          <w:sz w:val="21"/>
          <w:szCs w:val="21"/>
          <w:lang w:val="ro-RO"/>
        </w:rPr>
        <w:t xml:space="preserve">Documentația necesară pentru fiecare eveniment acoperit include o </w:t>
      </w:r>
      <w:r w:rsidR="002B7D5E" w:rsidRPr="003B5A55">
        <w:rPr>
          <w:sz w:val="21"/>
          <w:szCs w:val="21"/>
          <w:lang w:val="ro-RO"/>
        </w:rPr>
        <w:t>chitanță de descărcare</w:t>
      </w:r>
      <w:r w:rsidRPr="003B5A55">
        <w:rPr>
          <w:sz w:val="21"/>
          <w:szCs w:val="21"/>
          <w:lang w:val="ro-RO"/>
        </w:rPr>
        <w:t xml:space="preserve"> generală semnată de pacient și documentația care dovedește o </w:t>
      </w:r>
      <w:r w:rsidR="002B7D5E" w:rsidRPr="003B5A55">
        <w:rPr>
          <w:sz w:val="21"/>
          <w:szCs w:val="21"/>
          <w:lang w:val="ro-RO"/>
        </w:rPr>
        <w:t>reclamație</w:t>
      </w:r>
      <w:r w:rsidRPr="003B5A55">
        <w:rPr>
          <w:sz w:val="21"/>
          <w:szCs w:val="21"/>
          <w:lang w:val="ro-RO"/>
        </w:rPr>
        <w:t xml:space="preserve"> acoperită, care include:</w:t>
      </w:r>
    </w:p>
    <w:p w14:paraId="2E0BA49B" w14:textId="77777777" w:rsidR="00F81AAD" w:rsidRPr="003B5A55" w:rsidRDefault="00F81AAD">
      <w:pPr>
        <w:pStyle w:val="BodyText"/>
        <w:rPr>
          <w:sz w:val="21"/>
          <w:szCs w:val="21"/>
          <w:lang w:val="ro-RO"/>
        </w:rPr>
      </w:pPr>
    </w:p>
    <w:p w14:paraId="0FB690D9" w14:textId="77777777" w:rsidR="00F81AAD" w:rsidRPr="003B5A55" w:rsidRDefault="004B0F2C">
      <w:pPr>
        <w:pStyle w:val="Heading1"/>
        <w:spacing w:before="1"/>
        <w:rPr>
          <w:sz w:val="21"/>
          <w:szCs w:val="21"/>
          <w:lang w:val="ro-RO"/>
        </w:rPr>
      </w:pPr>
      <w:r w:rsidRPr="003B5A55">
        <w:rPr>
          <w:sz w:val="21"/>
          <w:szCs w:val="21"/>
          <w:lang w:val="ro-RO"/>
        </w:rPr>
        <w:t>Produsul ajunge deteriorat:</w:t>
      </w:r>
    </w:p>
    <w:p w14:paraId="69DF93B2" w14:textId="77777777" w:rsidR="00F81AAD" w:rsidRPr="003B5A55" w:rsidRDefault="004B0F2C">
      <w:pPr>
        <w:pStyle w:val="ListParagraph"/>
        <w:numPr>
          <w:ilvl w:val="1"/>
          <w:numId w:val="6"/>
        </w:numPr>
        <w:tabs>
          <w:tab w:val="left" w:pos="1831"/>
        </w:tabs>
        <w:ind w:left="1830" w:hanging="361"/>
        <w:rPr>
          <w:sz w:val="21"/>
          <w:szCs w:val="21"/>
          <w:lang w:val="ro-RO"/>
        </w:rPr>
      </w:pPr>
      <w:r w:rsidRPr="003B5A55">
        <w:rPr>
          <w:sz w:val="21"/>
          <w:szCs w:val="21"/>
          <w:lang w:val="ro-RO"/>
        </w:rPr>
        <w:t>Imaginea produsului deteriorat;</w:t>
      </w:r>
    </w:p>
    <w:p w14:paraId="4131FCB7" w14:textId="77777777" w:rsidR="00F81AAD" w:rsidRPr="003B5A55" w:rsidRDefault="004B0F2C">
      <w:pPr>
        <w:pStyle w:val="ListParagraph"/>
        <w:numPr>
          <w:ilvl w:val="1"/>
          <w:numId w:val="6"/>
        </w:numPr>
        <w:tabs>
          <w:tab w:val="left" w:pos="1831"/>
        </w:tabs>
        <w:ind w:left="1830" w:hanging="361"/>
        <w:rPr>
          <w:sz w:val="21"/>
          <w:szCs w:val="21"/>
          <w:lang w:val="ro-RO"/>
        </w:rPr>
      </w:pPr>
      <w:r w:rsidRPr="003B5A55">
        <w:rPr>
          <w:sz w:val="21"/>
          <w:szCs w:val="21"/>
          <w:lang w:val="ro-RO"/>
        </w:rPr>
        <w:t>Returul produsului deteriorat pentru inspecție.</w:t>
      </w:r>
    </w:p>
    <w:p w14:paraId="35B8C548" w14:textId="77777777" w:rsidR="00F81AAD" w:rsidRPr="003B5A55" w:rsidRDefault="00F81AAD">
      <w:pPr>
        <w:pStyle w:val="BodyText"/>
        <w:spacing w:before="10"/>
        <w:rPr>
          <w:sz w:val="20"/>
          <w:szCs w:val="21"/>
          <w:lang w:val="ro-RO"/>
        </w:rPr>
      </w:pPr>
    </w:p>
    <w:p w14:paraId="0C753BF8" w14:textId="77777777" w:rsidR="00F81AAD" w:rsidRPr="003B5A55" w:rsidRDefault="004B0F2C">
      <w:pPr>
        <w:pStyle w:val="Heading1"/>
        <w:rPr>
          <w:sz w:val="21"/>
          <w:szCs w:val="21"/>
          <w:lang w:val="ro-RO"/>
        </w:rPr>
      </w:pPr>
      <w:r w:rsidRPr="003B5A55">
        <w:rPr>
          <w:sz w:val="21"/>
          <w:szCs w:val="21"/>
          <w:lang w:val="ro-RO"/>
        </w:rPr>
        <w:t>Dezumflare spontană prematură a balonului înainte de 90 de zile</w:t>
      </w:r>
    </w:p>
    <w:p w14:paraId="088A4049" w14:textId="77777777" w:rsidR="00F81AAD" w:rsidRPr="003B5A55" w:rsidRDefault="004B0F2C">
      <w:pPr>
        <w:pStyle w:val="ListParagraph"/>
        <w:numPr>
          <w:ilvl w:val="0"/>
          <w:numId w:val="5"/>
        </w:numPr>
        <w:tabs>
          <w:tab w:val="left" w:pos="1831"/>
        </w:tabs>
        <w:ind w:right="489"/>
        <w:rPr>
          <w:sz w:val="21"/>
          <w:szCs w:val="21"/>
          <w:lang w:val="ro-RO"/>
        </w:rPr>
      </w:pPr>
      <w:r w:rsidRPr="003B5A55">
        <w:rPr>
          <w:sz w:val="21"/>
          <w:szCs w:val="21"/>
          <w:lang w:val="ro-RO"/>
        </w:rPr>
        <w:t>Confirmare endoscopică, cu raze X sau cu ultrasunete care arată absența balonului în stomac sau trecerea balonului observată de pacient și documentată cu imagine;</w:t>
      </w:r>
    </w:p>
    <w:p w14:paraId="3AD0E3EC" w14:textId="77777777" w:rsidR="00F81AAD" w:rsidRPr="003B5A55" w:rsidRDefault="004B0F2C">
      <w:pPr>
        <w:pStyle w:val="ListParagraph"/>
        <w:numPr>
          <w:ilvl w:val="0"/>
          <w:numId w:val="5"/>
        </w:numPr>
        <w:tabs>
          <w:tab w:val="left" w:pos="1831"/>
        </w:tabs>
        <w:spacing w:before="1"/>
        <w:rPr>
          <w:sz w:val="21"/>
          <w:szCs w:val="21"/>
          <w:lang w:val="ro-RO"/>
        </w:rPr>
      </w:pPr>
      <w:r w:rsidRPr="003B5A55">
        <w:rPr>
          <w:sz w:val="21"/>
          <w:szCs w:val="21"/>
          <w:lang w:val="ro-RO"/>
        </w:rPr>
        <w:t>Formular de raport de reclamație completat (Raport de feedback despre produs SOP13-F1);</w:t>
      </w:r>
    </w:p>
    <w:p w14:paraId="7AC49F6F" w14:textId="77777777" w:rsidR="00F81AAD" w:rsidRPr="003B5A55" w:rsidRDefault="004B0F2C">
      <w:pPr>
        <w:pStyle w:val="ListParagraph"/>
        <w:numPr>
          <w:ilvl w:val="0"/>
          <w:numId w:val="5"/>
        </w:numPr>
        <w:tabs>
          <w:tab w:val="left" w:pos="1831"/>
        </w:tabs>
        <w:ind w:right="409" w:hanging="360"/>
        <w:rPr>
          <w:sz w:val="21"/>
          <w:szCs w:val="21"/>
          <w:lang w:val="ro-RO"/>
        </w:rPr>
      </w:pPr>
      <w:r w:rsidRPr="003B5A55">
        <w:rPr>
          <w:sz w:val="21"/>
          <w:szCs w:val="21"/>
          <w:lang w:val="ro-RO"/>
        </w:rPr>
        <w:t>Dacă este posibil, returnați balonul trecut pentru inspecție. Allurion va furniza materiale de ambalare și va acoperi costurile de livrare a returului.</w:t>
      </w:r>
    </w:p>
    <w:p w14:paraId="64256932" w14:textId="77777777" w:rsidR="00F81AAD" w:rsidRPr="003B5A55" w:rsidRDefault="00F81AAD">
      <w:pPr>
        <w:pStyle w:val="BodyText"/>
        <w:rPr>
          <w:sz w:val="21"/>
          <w:szCs w:val="21"/>
          <w:lang w:val="ro-RO"/>
        </w:rPr>
      </w:pPr>
    </w:p>
    <w:p w14:paraId="0A419762" w14:textId="77777777" w:rsidR="00F81AAD" w:rsidRPr="003B5A55" w:rsidRDefault="004B0F2C">
      <w:pPr>
        <w:pStyle w:val="Heading1"/>
        <w:spacing w:line="268" w:lineRule="exact"/>
        <w:rPr>
          <w:sz w:val="21"/>
          <w:szCs w:val="21"/>
          <w:lang w:val="ro-RO"/>
        </w:rPr>
      </w:pPr>
      <w:r w:rsidRPr="003B5A55">
        <w:rPr>
          <w:sz w:val="21"/>
          <w:szCs w:val="21"/>
          <w:lang w:val="ro-RO"/>
        </w:rPr>
        <w:t>Hiperinflația care necesită îndepărtare endoscopică</w:t>
      </w:r>
    </w:p>
    <w:p w14:paraId="11593384" w14:textId="77777777" w:rsidR="00F81AAD" w:rsidRPr="003B5A55" w:rsidRDefault="004B0F2C">
      <w:pPr>
        <w:pStyle w:val="ListParagraph"/>
        <w:numPr>
          <w:ilvl w:val="0"/>
          <w:numId w:val="4"/>
        </w:numPr>
        <w:tabs>
          <w:tab w:val="left" w:pos="1831"/>
        </w:tabs>
        <w:ind w:right="433"/>
        <w:rPr>
          <w:sz w:val="21"/>
          <w:szCs w:val="21"/>
          <w:lang w:val="ro-RO"/>
        </w:rPr>
      </w:pPr>
      <w:r w:rsidRPr="003B5A55">
        <w:rPr>
          <w:sz w:val="21"/>
          <w:szCs w:val="21"/>
          <w:lang w:val="ro-RO"/>
        </w:rPr>
        <w:t>Confirmare endoscopică, cu raze X sau cu ultrasunete care arată hiperinflația balonului în stomac cu aproximativ jumătate din balonul umplut cu gaz;</w:t>
      </w:r>
    </w:p>
    <w:p w14:paraId="261A092D" w14:textId="77777777" w:rsidR="00F81AAD" w:rsidRPr="003B5A55" w:rsidRDefault="004B0F2C">
      <w:pPr>
        <w:pStyle w:val="ListParagraph"/>
        <w:numPr>
          <w:ilvl w:val="0"/>
          <w:numId w:val="4"/>
        </w:numPr>
        <w:tabs>
          <w:tab w:val="left" w:pos="1831"/>
        </w:tabs>
        <w:rPr>
          <w:sz w:val="21"/>
          <w:szCs w:val="21"/>
          <w:lang w:val="ro-RO"/>
        </w:rPr>
      </w:pPr>
      <w:r w:rsidRPr="003B5A55">
        <w:rPr>
          <w:sz w:val="21"/>
          <w:szCs w:val="21"/>
          <w:lang w:val="ro-RO"/>
        </w:rPr>
        <w:t>Formular de raport de reclamație completat (Raport de feedback despre produs SOP13-F1);</w:t>
      </w:r>
    </w:p>
    <w:p w14:paraId="4FDEBBFE" w14:textId="65DC7C6F" w:rsidR="00F81AAD" w:rsidRPr="003B5A55" w:rsidRDefault="004B0F2C">
      <w:pPr>
        <w:pStyle w:val="ListParagraph"/>
        <w:numPr>
          <w:ilvl w:val="0"/>
          <w:numId w:val="4"/>
        </w:numPr>
        <w:tabs>
          <w:tab w:val="left" w:pos="1831"/>
        </w:tabs>
        <w:rPr>
          <w:sz w:val="21"/>
          <w:szCs w:val="21"/>
          <w:lang w:val="ro-RO"/>
        </w:rPr>
      </w:pPr>
      <w:r w:rsidRPr="003B5A55">
        <w:rPr>
          <w:sz w:val="21"/>
          <w:szCs w:val="21"/>
          <w:lang w:val="ro-RO"/>
        </w:rPr>
        <w:t xml:space="preserve">Chitanțe pentru cheltuielile </w:t>
      </w:r>
      <w:r w:rsidR="002B7D5E" w:rsidRPr="003B5A55">
        <w:rPr>
          <w:sz w:val="21"/>
          <w:szCs w:val="21"/>
          <w:lang w:val="ro-RO"/>
        </w:rPr>
        <w:t xml:space="preserve">extra </w:t>
      </w:r>
      <w:r w:rsidRPr="003B5A55">
        <w:rPr>
          <w:sz w:val="21"/>
          <w:szCs w:val="21"/>
          <w:lang w:val="ro-RO"/>
        </w:rPr>
        <w:t>ale pacientului;</w:t>
      </w:r>
    </w:p>
    <w:p w14:paraId="2EDEE567" w14:textId="00124DE4" w:rsidR="00F81AAD" w:rsidRPr="003B5A55" w:rsidRDefault="004B0F2C">
      <w:pPr>
        <w:pStyle w:val="ListParagraph"/>
        <w:numPr>
          <w:ilvl w:val="0"/>
          <w:numId w:val="4"/>
        </w:numPr>
        <w:tabs>
          <w:tab w:val="left" w:pos="1831"/>
        </w:tabs>
        <w:rPr>
          <w:sz w:val="21"/>
          <w:szCs w:val="21"/>
          <w:lang w:val="ro-RO"/>
        </w:rPr>
      </w:pPr>
      <w:r w:rsidRPr="003B5A55">
        <w:rPr>
          <w:sz w:val="21"/>
          <w:szCs w:val="21"/>
          <w:lang w:val="ro-RO"/>
        </w:rPr>
        <w:t xml:space="preserve">Dacă este posibil, returnați </w:t>
      </w:r>
      <w:r w:rsidR="003B5A55" w:rsidRPr="003B5A55">
        <w:rPr>
          <w:sz w:val="21"/>
          <w:szCs w:val="21"/>
          <w:lang w:val="ro-RO"/>
        </w:rPr>
        <w:t>fluidul din</w:t>
      </w:r>
      <w:r w:rsidRPr="003B5A55">
        <w:rPr>
          <w:sz w:val="21"/>
          <w:szCs w:val="21"/>
          <w:lang w:val="ro-RO"/>
        </w:rPr>
        <w:t xml:space="preserve"> balon pentru inspecție.</w:t>
      </w:r>
    </w:p>
    <w:p w14:paraId="38136A00" w14:textId="77777777" w:rsidR="00F81AAD" w:rsidRPr="003B5A55" w:rsidRDefault="00F81AAD">
      <w:pPr>
        <w:pStyle w:val="BodyText"/>
        <w:rPr>
          <w:sz w:val="21"/>
          <w:szCs w:val="21"/>
          <w:lang w:val="ro-RO"/>
        </w:rPr>
      </w:pPr>
    </w:p>
    <w:p w14:paraId="5BD643B6" w14:textId="77777777" w:rsidR="00F81AAD" w:rsidRPr="003B5A55" w:rsidRDefault="004B0F2C">
      <w:pPr>
        <w:pStyle w:val="Heading1"/>
        <w:rPr>
          <w:sz w:val="21"/>
          <w:szCs w:val="21"/>
          <w:lang w:val="ro-RO"/>
        </w:rPr>
      </w:pPr>
      <w:r w:rsidRPr="003B5A55">
        <w:rPr>
          <w:sz w:val="21"/>
          <w:szCs w:val="21"/>
          <w:lang w:val="ro-RO"/>
        </w:rPr>
        <w:t>Pancreatita acuta</w:t>
      </w:r>
    </w:p>
    <w:p w14:paraId="45F0826C" w14:textId="77777777" w:rsidR="00F81AAD" w:rsidRPr="003B5A55" w:rsidRDefault="004B0F2C">
      <w:pPr>
        <w:pStyle w:val="ListParagraph"/>
        <w:numPr>
          <w:ilvl w:val="0"/>
          <w:numId w:val="3"/>
        </w:numPr>
        <w:tabs>
          <w:tab w:val="left" w:pos="1831"/>
        </w:tabs>
        <w:rPr>
          <w:sz w:val="21"/>
          <w:szCs w:val="21"/>
          <w:lang w:val="ro-RO"/>
        </w:rPr>
      </w:pPr>
      <w:r w:rsidRPr="003B5A55">
        <w:rPr>
          <w:sz w:val="21"/>
          <w:szCs w:val="21"/>
          <w:lang w:val="ro-RO"/>
        </w:rPr>
        <w:t>Confirmarea de laborator a pancreatitei acute;</w:t>
      </w:r>
    </w:p>
    <w:p w14:paraId="36C832E4" w14:textId="77777777" w:rsidR="00F81AAD" w:rsidRPr="003B5A55" w:rsidRDefault="004B0F2C">
      <w:pPr>
        <w:pStyle w:val="ListParagraph"/>
        <w:numPr>
          <w:ilvl w:val="0"/>
          <w:numId w:val="3"/>
        </w:numPr>
        <w:tabs>
          <w:tab w:val="left" w:pos="1831"/>
        </w:tabs>
        <w:spacing w:before="1"/>
        <w:rPr>
          <w:sz w:val="21"/>
          <w:szCs w:val="21"/>
          <w:lang w:val="ro-RO"/>
        </w:rPr>
      </w:pPr>
      <w:r w:rsidRPr="003B5A55">
        <w:rPr>
          <w:sz w:val="21"/>
          <w:szCs w:val="21"/>
          <w:lang w:val="ro-RO"/>
        </w:rPr>
        <w:t>Formular de raport de reclamație completat (Raport de feedback despre produs SOP13-F1);</w:t>
      </w:r>
    </w:p>
    <w:p w14:paraId="39551D82" w14:textId="3ADC1CE4" w:rsidR="00F81AAD" w:rsidRPr="003B5A55" w:rsidRDefault="004B0F2C">
      <w:pPr>
        <w:pStyle w:val="ListParagraph"/>
        <w:numPr>
          <w:ilvl w:val="0"/>
          <w:numId w:val="3"/>
        </w:numPr>
        <w:tabs>
          <w:tab w:val="left" w:pos="1831"/>
        </w:tabs>
        <w:rPr>
          <w:sz w:val="21"/>
          <w:szCs w:val="21"/>
          <w:lang w:val="ro-RO"/>
        </w:rPr>
      </w:pPr>
      <w:r w:rsidRPr="003B5A55">
        <w:rPr>
          <w:sz w:val="21"/>
          <w:szCs w:val="21"/>
          <w:lang w:val="ro-RO"/>
        </w:rPr>
        <w:t xml:space="preserve">Chitanțe pentru cheltuielile </w:t>
      </w:r>
      <w:r w:rsidR="003B5A55" w:rsidRPr="003B5A55">
        <w:rPr>
          <w:sz w:val="21"/>
          <w:szCs w:val="21"/>
          <w:lang w:val="ro-RO"/>
        </w:rPr>
        <w:t>extra</w:t>
      </w:r>
      <w:r w:rsidRPr="003B5A55">
        <w:rPr>
          <w:sz w:val="21"/>
          <w:szCs w:val="21"/>
          <w:lang w:val="ro-RO"/>
        </w:rPr>
        <w:t xml:space="preserve"> ale pacientului.</w:t>
      </w:r>
    </w:p>
    <w:p w14:paraId="1159E569" w14:textId="77777777" w:rsidR="00F81AAD" w:rsidRPr="003B5A55" w:rsidRDefault="00F81AAD">
      <w:pPr>
        <w:pStyle w:val="BodyText"/>
        <w:rPr>
          <w:sz w:val="21"/>
          <w:szCs w:val="21"/>
          <w:lang w:val="ro-RO"/>
        </w:rPr>
      </w:pPr>
    </w:p>
    <w:p w14:paraId="40C2B72D" w14:textId="77777777" w:rsidR="00F81AAD" w:rsidRPr="003B5A55" w:rsidRDefault="00F81AAD">
      <w:pPr>
        <w:pStyle w:val="BodyText"/>
        <w:rPr>
          <w:sz w:val="21"/>
          <w:szCs w:val="21"/>
          <w:lang w:val="ro-RO"/>
        </w:rPr>
      </w:pPr>
    </w:p>
    <w:p w14:paraId="08F9FE83" w14:textId="77777777" w:rsidR="00F81AAD" w:rsidRPr="003B5A55" w:rsidRDefault="00F81AAD">
      <w:pPr>
        <w:pStyle w:val="BodyText"/>
        <w:spacing w:before="10"/>
        <w:rPr>
          <w:sz w:val="20"/>
          <w:szCs w:val="21"/>
          <w:lang w:val="ro-RO"/>
        </w:rPr>
      </w:pPr>
    </w:p>
    <w:p w14:paraId="79A58DCD" w14:textId="77777777" w:rsidR="00F81AAD" w:rsidRPr="003B5A55" w:rsidRDefault="004B0F2C">
      <w:pPr>
        <w:pStyle w:val="Heading1"/>
        <w:rPr>
          <w:sz w:val="21"/>
          <w:szCs w:val="21"/>
          <w:lang w:val="ro-RO"/>
        </w:rPr>
      </w:pPr>
      <w:r w:rsidRPr="003B5A55">
        <w:rPr>
          <w:sz w:val="21"/>
          <w:szCs w:val="21"/>
          <w:lang w:val="ro-RO"/>
        </w:rPr>
        <w:t>Perforarea GI</w:t>
      </w:r>
    </w:p>
    <w:p w14:paraId="5F3DE3BD" w14:textId="77777777" w:rsidR="00F81AAD" w:rsidRPr="003B5A55" w:rsidRDefault="004B0F2C">
      <w:pPr>
        <w:pStyle w:val="ListParagraph"/>
        <w:numPr>
          <w:ilvl w:val="0"/>
          <w:numId w:val="2"/>
        </w:numPr>
        <w:tabs>
          <w:tab w:val="left" w:pos="1832"/>
        </w:tabs>
        <w:spacing w:before="1"/>
        <w:rPr>
          <w:sz w:val="21"/>
          <w:szCs w:val="21"/>
          <w:lang w:val="ro-RO"/>
        </w:rPr>
      </w:pPr>
      <w:r w:rsidRPr="003B5A55">
        <w:rPr>
          <w:sz w:val="21"/>
          <w:szCs w:val="21"/>
          <w:lang w:val="ro-RO"/>
        </w:rPr>
        <w:t>Confirmarea radiografică sau CT a perforației;</w:t>
      </w:r>
    </w:p>
    <w:p w14:paraId="6456A3A6" w14:textId="77777777" w:rsidR="00F81AAD" w:rsidRPr="003B5A55" w:rsidRDefault="00F81AAD">
      <w:pPr>
        <w:rPr>
          <w:sz w:val="21"/>
          <w:szCs w:val="21"/>
          <w:lang w:val="ro-RO"/>
        </w:rPr>
        <w:sectPr w:rsidR="00F81AAD" w:rsidRPr="003B5A55">
          <w:pgSz w:w="12240" w:h="15840"/>
          <w:pgMar w:top="1500" w:right="1060" w:bottom="940" w:left="1220" w:header="0" w:footer="758" w:gutter="0"/>
          <w:cols w:space="720"/>
        </w:sectPr>
      </w:pPr>
    </w:p>
    <w:p w14:paraId="6AD0F6E9" w14:textId="294D2E45" w:rsidR="00F81AAD" w:rsidRPr="003B5A55" w:rsidRDefault="004B0F2C">
      <w:pPr>
        <w:pStyle w:val="ListParagraph"/>
        <w:numPr>
          <w:ilvl w:val="0"/>
          <w:numId w:val="2"/>
        </w:numPr>
        <w:tabs>
          <w:tab w:val="left" w:pos="1831"/>
        </w:tabs>
        <w:spacing w:before="40" w:line="268" w:lineRule="exact"/>
        <w:ind w:left="1830"/>
        <w:rPr>
          <w:sz w:val="21"/>
          <w:szCs w:val="21"/>
          <w:lang w:val="ro-RO"/>
        </w:rPr>
      </w:pPr>
      <w:r w:rsidRPr="003B5A55">
        <w:rPr>
          <w:sz w:val="21"/>
          <w:szCs w:val="21"/>
          <w:lang w:val="ro-RO"/>
        </w:rPr>
        <w:lastRenderedPageBreak/>
        <w:t>Formular raport de reclamație completat (Raport de feedback despre produs SOP13-F1);</w:t>
      </w:r>
    </w:p>
    <w:p w14:paraId="6D9D4027" w14:textId="1626B401" w:rsidR="00F81AAD" w:rsidRPr="003B5A55" w:rsidRDefault="004B0F2C">
      <w:pPr>
        <w:pStyle w:val="ListParagraph"/>
        <w:numPr>
          <w:ilvl w:val="0"/>
          <w:numId w:val="2"/>
        </w:numPr>
        <w:tabs>
          <w:tab w:val="left" w:pos="1831"/>
        </w:tabs>
        <w:spacing w:line="268" w:lineRule="exact"/>
        <w:ind w:left="1830"/>
        <w:rPr>
          <w:sz w:val="21"/>
          <w:szCs w:val="21"/>
          <w:lang w:val="ro-RO"/>
        </w:rPr>
      </w:pPr>
      <w:r w:rsidRPr="003B5A55">
        <w:rPr>
          <w:sz w:val="21"/>
          <w:szCs w:val="21"/>
          <w:lang w:val="ro-RO"/>
        </w:rPr>
        <w:t xml:space="preserve">Chitanțe pentru cheltuielile </w:t>
      </w:r>
      <w:r w:rsidR="003B5A55" w:rsidRPr="003B5A55">
        <w:rPr>
          <w:sz w:val="21"/>
          <w:szCs w:val="21"/>
          <w:lang w:val="ro-RO"/>
        </w:rPr>
        <w:t>extra</w:t>
      </w:r>
      <w:r w:rsidRPr="003B5A55">
        <w:rPr>
          <w:sz w:val="21"/>
          <w:szCs w:val="21"/>
          <w:lang w:val="ro-RO"/>
        </w:rPr>
        <w:t xml:space="preserve"> ale pacientului.</w:t>
      </w:r>
    </w:p>
    <w:p w14:paraId="44B30D95" w14:textId="77777777" w:rsidR="00F81AAD" w:rsidRPr="003B5A55" w:rsidRDefault="00F81AAD">
      <w:pPr>
        <w:pStyle w:val="BodyText"/>
        <w:rPr>
          <w:sz w:val="21"/>
          <w:szCs w:val="21"/>
          <w:lang w:val="ro-RO"/>
        </w:rPr>
      </w:pPr>
    </w:p>
    <w:p w14:paraId="241CD8E2" w14:textId="77777777" w:rsidR="00F81AAD" w:rsidRPr="003B5A55" w:rsidRDefault="004B0F2C">
      <w:pPr>
        <w:pStyle w:val="Heading1"/>
        <w:rPr>
          <w:sz w:val="21"/>
          <w:szCs w:val="21"/>
          <w:lang w:val="ro-RO"/>
        </w:rPr>
      </w:pPr>
      <w:r w:rsidRPr="003B5A55">
        <w:rPr>
          <w:sz w:val="21"/>
          <w:szCs w:val="21"/>
          <w:lang w:val="ro-RO"/>
        </w:rPr>
        <w:t>Obstrucție a intestinului subțire</w:t>
      </w:r>
    </w:p>
    <w:p w14:paraId="01B92215" w14:textId="77777777" w:rsidR="00F81AAD" w:rsidRPr="003B5A55" w:rsidRDefault="004B0F2C">
      <w:pPr>
        <w:pStyle w:val="ListParagraph"/>
        <w:numPr>
          <w:ilvl w:val="0"/>
          <w:numId w:val="1"/>
        </w:numPr>
        <w:tabs>
          <w:tab w:val="left" w:pos="1831"/>
        </w:tabs>
        <w:rPr>
          <w:sz w:val="21"/>
          <w:szCs w:val="21"/>
          <w:lang w:val="ro-RO"/>
        </w:rPr>
      </w:pPr>
      <w:r w:rsidRPr="003B5A55">
        <w:rPr>
          <w:sz w:val="21"/>
          <w:szCs w:val="21"/>
          <w:lang w:val="ro-RO"/>
        </w:rPr>
        <w:t>Confirmarea cu raze X sau CT a obstrucției intestinului subțire;</w:t>
      </w:r>
    </w:p>
    <w:p w14:paraId="365D3A26" w14:textId="77777777" w:rsidR="00F81AAD" w:rsidRPr="003B5A55" w:rsidRDefault="004B0F2C">
      <w:pPr>
        <w:pStyle w:val="ListParagraph"/>
        <w:numPr>
          <w:ilvl w:val="0"/>
          <w:numId w:val="1"/>
        </w:numPr>
        <w:tabs>
          <w:tab w:val="left" w:pos="1831"/>
        </w:tabs>
        <w:rPr>
          <w:sz w:val="21"/>
          <w:szCs w:val="21"/>
          <w:lang w:val="ro-RO"/>
        </w:rPr>
      </w:pPr>
      <w:r w:rsidRPr="003B5A55">
        <w:rPr>
          <w:sz w:val="21"/>
          <w:szCs w:val="21"/>
          <w:lang w:val="ro-RO"/>
        </w:rPr>
        <w:t>Formular de raport de reclamație completat (Raport de feedback despre produs SOP13-F1);</w:t>
      </w:r>
    </w:p>
    <w:p w14:paraId="318C9854" w14:textId="17A489C3" w:rsidR="00F81AAD" w:rsidRPr="003B5A55" w:rsidRDefault="004B0F2C">
      <w:pPr>
        <w:pStyle w:val="ListParagraph"/>
        <w:numPr>
          <w:ilvl w:val="0"/>
          <w:numId w:val="1"/>
        </w:numPr>
        <w:tabs>
          <w:tab w:val="left" w:pos="1831"/>
        </w:tabs>
        <w:spacing w:before="1"/>
        <w:rPr>
          <w:sz w:val="21"/>
          <w:szCs w:val="21"/>
          <w:lang w:val="ro-RO"/>
        </w:rPr>
      </w:pPr>
      <w:r w:rsidRPr="003B5A55">
        <w:rPr>
          <w:sz w:val="21"/>
          <w:szCs w:val="21"/>
          <w:lang w:val="ro-RO"/>
        </w:rPr>
        <w:t xml:space="preserve">Chitanțe pentru cheltuielile </w:t>
      </w:r>
      <w:r w:rsidR="003B5A55" w:rsidRPr="003B5A55">
        <w:rPr>
          <w:sz w:val="21"/>
          <w:szCs w:val="21"/>
          <w:lang w:val="ro-RO"/>
        </w:rPr>
        <w:t>extra</w:t>
      </w:r>
      <w:r w:rsidRPr="003B5A55">
        <w:rPr>
          <w:sz w:val="21"/>
          <w:szCs w:val="21"/>
          <w:lang w:val="ro-RO"/>
        </w:rPr>
        <w:t xml:space="preserve"> ale pacientului;</w:t>
      </w:r>
    </w:p>
    <w:p w14:paraId="79BC94CC" w14:textId="77777777" w:rsidR="00F81AAD" w:rsidRPr="003B5A55" w:rsidRDefault="004B0F2C">
      <w:pPr>
        <w:pStyle w:val="ListParagraph"/>
        <w:numPr>
          <w:ilvl w:val="0"/>
          <w:numId w:val="1"/>
        </w:numPr>
        <w:tabs>
          <w:tab w:val="left" w:pos="1831"/>
        </w:tabs>
        <w:rPr>
          <w:sz w:val="21"/>
          <w:szCs w:val="21"/>
          <w:lang w:val="ro-RO"/>
        </w:rPr>
      </w:pPr>
      <w:r w:rsidRPr="003B5A55">
        <w:rPr>
          <w:sz w:val="21"/>
          <w:szCs w:val="21"/>
          <w:lang w:val="ro-RO"/>
        </w:rPr>
        <w:t>Dacă este posibil, returnați balonul pentru inspecție.</w:t>
      </w:r>
    </w:p>
    <w:p w14:paraId="52A53E7C" w14:textId="77777777" w:rsidR="00F81AAD" w:rsidRPr="003B5A55" w:rsidRDefault="00F81AAD">
      <w:pPr>
        <w:pStyle w:val="BodyText"/>
        <w:rPr>
          <w:sz w:val="21"/>
          <w:szCs w:val="21"/>
          <w:lang w:val="ro-RO"/>
        </w:rPr>
      </w:pPr>
    </w:p>
    <w:p w14:paraId="285AF5F0" w14:textId="77777777" w:rsidR="00F81AAD" w:rsidRPr="003B5A55" w:rsidRDefault="004B0F2C">
      <w:pPr>
        <w:pStyle w:val="BodyText"/>
        <w:ind w:left="119" w:right="299"/>
        <w:rPr>
          <w:sz w:val="21"/>
          <w:szCs w:val="21"/>
          <w:lang w:val="ro-RO"/>
        </w:rPr>
      </w:pPr>
      <w:r w:rsidRPr="003B5A55">
        <w:rPr>
          <w:sz w:val="21"/>
          <w:szCs w:val="21"/>
          <w:lang w:val="ro-RO"/>
        </w:rPr>
        <w:t>Allurion își rezervă dreptul de a solicita informații suplimentare pentru a confirma autenticitatea unei cereri, iar furnizarea de informații false constituie un motiv pentru respingerea unei cereri.</w:t>
      </w:r>
    </w:p>
    <w:p w14:paraId="4499B853" w14:textId="77777777" w:rsidR="00F81AAD" w:rsidRPr="003B5A55" w:rsidRDefault="00F81AAD">
      <w:pPr>
        <w:pStyle w:val="BodyText"/>
        <w:rPr>
          <w:sz w:val="21"/>
          <w:szCs w:val="21"/>
          <w:lang w:val="ro-RO"/>
        </w:rPr>
      </w:pPr>
    </w:p>
    <w:p w14:paraId="58413493" w14:textId="50EFC61E" w:rsidR="00F81AAD" w:rsidRPr="003B5A55" w:rsidRDefault="004B0F2C">
      <w:pPr>
        <w:pStyle w:val="BodyText"/>
        <w:spacing w:before="1"/>
        <w:ind w:left="119"/>
        <w:rPr>
          <w:sz w:val="21"/>
          <w:szCs w:val="21"/>
          <w:lang w:val="ro-RO"/>
        </w:rPr>
      </w:pPr>
      <w:r w:rsidRPr="003B5A55">
        <w:rPr>
          <w:sz w:val="21"/>
          <w:szCs w:val="21"/>
          <w:lang w:val="ro-RO"/>
        </w:rPr>
        <w:t>Documentele pot fi trimise prin e-mail</w:t>
      </w:r>
      <w:r w:rsidR="003B5A55" w:rsidRPr="003B5A55">
        <w:rPr>
          <w:sz w:val="21"/>
          <w:szCs w:val="21"/>
          <w:lang w:val="ro-RO"/>
        </w:rPr>
        <w:t xml:space="preserve"> </w:t>
      </w:r>
      <w:hyperlink r:id="rId10" w:history="1">
        <w:r w:rsidR="003B5A55" w:rsidRPr="003B5A55">
          <w:rPr>
            <w:rStyle w:val="Hyperlink"/>
            <w:sz w:val="21"/>
            <w:szCs w:val="21"/>
            <w:lang w:val="ro-RO"/>
          </w:rPr>
          <w:t>Complaints@Allurion.com.</w:t>
        </w:r>
      </w:hyperlink>
    </w:p>
    <w:p w14:paraId="588ABEDF" w14:textId="77777777" w:rsidR="00F81AAD" w:rsidRPr="003B5A55" w:rsidRDefault="00F81AAD">
      <w:pPr>
        <w:pStyle w:val="BodyText"/>
        <w:spacing w:before="5"/>
        <w:rPr>
          <w:sz w:val="8"/>
          <w:szCs w:val="21"/>
          <w:lang w:val="ro-RO"/>
        </w:rPr>
      </w:pPr>
    </w:p>
    <w:p w14:paraId="5DC95830" w14:textId="76744128" w:rsidR="00F81AAD" w:rsidRPr="003B5A55" w:rsidRDefault="004B0F2C">
      <w:pPr>
        <w:pStyle w:val="BodyText"/>
        <w:spacing w:before="56"/>
        <w:ind w:left="119" w:right="272"/>
        <w:rPr>
          <w:sz w:val="21"/>
          <w:szCs w:val="21"/>
          <w:lang w:val="ro-RO"/>
        </w:rPr>
      </w:pPr>
      <w:r w:rsidRPr="003B5A55">
        <w:rPr>
          <w:sz w:val="21"/>
          <w:szCs w:val="21"/>
          <w:lang w:val="ro-RO"/>
        </w:rPr>
        <w:t xml:space="preserve">La primirea documentației solicitate și a formularului de </w:t>
      </w:r>
      <w:r w:rsidR="003B5A55" w:rsidRPr="003B5A55">
        <w:rPr>
          <w:sz w:val="21"/>
          <w:szCs w:val="21"/>
          <w:lang w:val="ro-RO"/>
        </w:rPr>
        <w:t>descărcare</w:t>
      </w:r>
      <w:r w:rsidRPr="003B5A55">
        <w:rPr>
          <w:sz w:val="21"/>
          <w:szCs w:val="21"/>
          <w:lang w:val="ro-RO"/>
        </w:rPr>
        <w:t xml:space="preserve"> și revendicare semnat corespunzător, produsul de înlocuire sau un cec vor fi eliberate părții sau părților corespunzătoare, în conformitate cu limitările prezentate în acest document. Cecul va fi plătit părții sau părților indicate de pacient pe formularul de eliberare.</w:t>
      </w:r>
    </w:p>
    <w:p w14:paraId="104907DA" w14:textId="77777777" w:rsidR="00F81AAD" w:rsidRPr="003B5A55" w:rsidRDefault="00F81AAD">
      <w:pPr>
        <w:pStyle w:val="BodyText"/>
        <w:rPr>
          <w:sz w:val="21"/>
          <w:szCs w:val="21"/>
          <w:lang w:val="ro-RO"/>
        </w:rPr>
      </w:pPr>
    </w:p>
    <w:p w14:paraId="5CBEE493" w14:textId="77777777" w:rsidR="00F81AAD" w:rsidRPr="003B5A55" w:rsidRDefault="00F81AAD">
      <w:pPr>
        <w:pStyle w:val="BodyText"/>
        <w:spacing w:before="5"/>
        <w:rPr>
          <w:sz w:val="16"/>
          <w:szCs w:val="21"/>
          <w:lang w:val="ro-RO"/>
        </w:rPr>
      </w:pPr>
    </w:p>
    <w:p w14:paraId="2253C5F4" w14:textId="77777777" w:rsidR="00F81AAD" w:rsidRPr="003B5A55" w:rsidRDefault="004B0F2C">
      <w:pPr>
        <w:pStyle w:val="BodyText"/>
        <w:ind w:left="2592" w:right="2953"/>
        <w:jc w:val="center"/>
        <w:rPr>
          <w:sz w:val="21"/>
          <w:szCs w:val="21"/>
          <w:lang w:val="ro-RO"/>
        </w:rPr>
      </w:pPr>
      <w:r w:rsidRPr="003B5A55">
        <w:rPr>
          <w:sz w:val="21"/>
          <w:szCs w:val="21"/>
          <w:lang w:val="ro-RO"/>
        </w:rPr>
        <w:t>Toate drepturile rezervate. © 2021 Allurion.</w:t>
      </w:r>
    </w:p>
    <w:sectPr w:rsidR="00F81AAD" w:rsidRPr="003B5A55">
      <w:pgSz w:w="12240" w:h="15840"/>
      <w:pgMar w:top="1080" w:right="1060" w:bottom="940" w:left="122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16847" w14:textId="77777777" w:rsidR="00180794" w:rsidRDefault="00180794">
      <w:r>
        <w:separator/>
      </w:r>
    </w:p>
  </w:endnote>
  <w:endnote w:type="continuationSeparator" w:id="0">
    <w:p w14:paraId="5FA553FF" w14:textId="77777777" w:rsidR="00180794" w:rsidRDefault="0018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B475" w14:textId="77777777" w:rsidR="00F81AAD" w:rsidRDefault="006E54E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17266D">
              <wp:simplePos x="0" y="0"/>
              <wp:positionH relativeFrom="page">
                <wp:posOffset>837565</wp:posOffset>
              </wp:positionH>
              <wp:positionV relativeFrom="page">
                <wp:posOffset>9437370</wp:posOffset>
              </wp:positionV>
              <wp:extent cx="901700" cy="1276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A8C7C" w14:textId="77777777" w:rsidR="00F81AAD" w:rsidRDefault="004B0F2C">
                          <w:pPr>
                            <w:spacing w:line="184" w:lineRule="exact"/>
                            <w:ind w:left="20"/>
                            <w:rPr>
                              <w:sz w:val="16"/>
                            </w:rPr>
                          </w:pPr>
                          <w:r>
                            <w:rPr>
                              <w:sz w:val="16"/>
                            </w:rPr>
                            <w:t>ACTIV / 105821883.1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7266D" id="_x0000_t202" coordsize="21600,21600" o:spt="202" path="m,l,21600r21600,l21600,xe">
              <v:stroke joinstyle="miter"/>
              <v:path gradientshapeok="t" o:connecttype="rect"/>
            </v:shapetype>
            <v:shape id="Text Box 1" o:spid="_x0000_s1026" type="#_x0000_t202" style="position:absolute;margin-left:65.95pt;margin-top:743.1pt;width:7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" filled="f" stroked="f">
              <v:path arrowok="t"/>
              <v:textbox inset="0,0,0,0">
                <w:txbxContent>
                  <w:p w14:paraId="472A8C7C" w14:textId="77777777" w:rsidR="00F81AAD" w:rsidRDefault="004B0F2C">
                    <w:pPr>
                      <w:spacing w:line="184" w:lineRule="exact"/>
                      <w:ind w:left="20"/>
                      <w:rPr>
                        <w:sz w:val="16"/>
                      </w:rPr>
                    </w:pPr>
                    <w:r>
                      <w:rPr>
                        <w:sz w:val="16"/>
                      </w:rPr>
                      <w:t>ACTIV / 105821883.1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BD6A" w14:textId="77777777" w:rsidR="00180794" w:rsidRDefault="00180794">
      <w:r>
        <w:separator/>
      </w:r>
    </w:p>
  </w:footnote>
  <w:footnote w:type="continuationSeparator" w:id="0">
    <w:p w14:paraId="23238BDD" w14:textId="77777777" w:rsidR="00180794" w:rsidRDefault="00180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B12A9"/>
    <w:multiLevelType w:val="hybridMultilevel"/>
    <w:tmpl w:val="024C8112"/>
    <w:lvl w:ilvl="0" w:tplc="FB544A58">
      <w:start w:val="1"/>
      <w:numFmt w:val="decimal"/>
      <w:lvlText w:val="%1."/>
      <w:lvlJc w:val="left"/>
      <w:pPr>
        <w:ind w:left="1830" w:hanging="361"/>
      </w:pPr>
      <w:rPr>
        <w:rFonts w:ascii="Calibri" w:eastAsia="Calibri" w:hAnsi="Calibri" w:cs="Calibri" w:hint="default"/>
        <w:w w:val="100"/>
        <w:sz w:val="22"/>
        <w:szCs w:val="22"/>
        <w:lang w:val="en-US" w:eastAsia="en-US" w:bidi="ar-SA"/>
      </w:rPr>
    </w:lvl>
    <w:lvl w:ilvl="1" w:tplc="A5CC07D0">
      <w:numFmt w:val="bullet"/>
      <w:lvlText w:val="•"/>
      <w:lvlJc w:val="left"/>
      <w:pPr>
        <w:ind w:left="2652" w:hanging="361"/>
      </w:pPr>
      <w:rPr>
        <w:rFonts w:hint="default"/>
        <w:lang w:val="en-US" w:eastAsia="en-US" w:bidi="ar-SA"/>
      </w:rPr>
    </w:lvl>
    <w:lvl w:ilvl="2" w:tplc="19122400">
      <w:numFmt w:val="bullet"/>
      <w:lvlText w:val="•"/>
      <w:lvlJc w:val="left"/>
      <w:pPr>
        <w:ind w:left="3464" w:hanging="361"/>
      </w:pPr>
      <w:rPr>
        <w:rFonts w:hint="default"/>
        <w:lang w:val="en-US" w:eastAsia="en-US" w:bidi="ar-SA"/>
      </w:rPr>
    </w:lvl>
    <w:lvl w:ilvl="3" w:tplc="6C0C91DC">
      <w:numFmt w:val="bullet"/>
      <w:lvlText w:val="•"/>
      <w:lvlJc w:val="left"/>
      <w:pPr>
        <w:ind w:left="4276" w:hanging="361"/>
      </w:pPr>
      <w:rPr>
        <w:rFonts w:hint="default"/>
        <w:lang w:val="en-US" w:eastAsia="en-US" w:bidi="ar-SA"/>
      </w:rPr>
    </w:lvl>
    <w:lvl w:ilvl="4" w:tplc="3DC2BF92">
      <w:numFmt w:val="bullet"/>
      <w:lvlText w:val="•"/>
      <w:lvlJc w:val="left"/>
      <w:pPr>
        <w:ind w:left="5088" w:hanging="361"/>
      </w:pPr>
      <w:rPr>
        <w:rFonts w:hint="default"/>
        <w:lang w:val="en-US" w:eastAsia="en-US" w:bidi="ar-SA"/>
      </w:rPr>
    </w:lvl>
    <w:lvl w:ilvl="5" w:tplc="EBA267D8">
      <w:numFmt w:val="bullet"/>
      <w:lvlText w:val="•"/>
      <w:lvlJc w:val="left"/>
      <w:pPr>
        <w:ind w:left="5900" w:hanging="361"/>
      </w:pPr>
      <w:rPr>
        <w:rFonts w:hint="default"/>
        <w:lang w:val="en-US" w:eastAsia="en-US" w:bidi="ar-SA"/>
      </w:rPr>
    </w:lvl>
    <w:lvl w:ilvl="6" w:tplc="20B634D4">
      <w:numFmt w:val="bullet"/>
      <w:lvlText w:val="•"/>
      <w:lvlJc w:val="left"/>
      <w:pPr>
        <w:ind w:left="6712" w:hanging="361"/>
      </w:pPr>
      <w:rPr>
        <w:rFonts w:hint="default"/>
        <w:lang w:val="en-US" w:eastAsia="en-US" w:bidi="ar-SA"/>
      </w:rPr>
    </w:lvl>
    <w:lvl w:ilvl="7" w:tplc="FCCE222E">
      <w:numFmt w:val="bullet"/>
      <w:lvlText w:val="•"/>
      <w:lvlJc w:val="left"/>
      <w:pPr>
        <w:ind w:left="7524" w:hanging="361"/>
      </w:pPr>
      <w:rPr>
        <w:rFonts w:hint="default"/>
        <w:lang w:val="en-US" w:eastAsia="en-US" w:bidi="ar-SA"/>
      </w:rPr>
    </w:lvl>
    <w:lvl w:ilvl="8" w:tplc="A876218E">
      <w:numFmt w:val="bullet"/>
      <w:lvlText w:val="•"/>
      <w:lvlJc w:val="left"/>
      <w:pPr>
        <w:ind w:left="8336" w:hanging="361"/>
      </w:pPr>
      <w:rPr>
        <w:rFonts w:hint="default"/>
        <w:lang w:val="en-US" w:eastAsia="en-US" w:bidi="ar-SA"/>
      </w:rPr>
    </w:lvl>
  </w:abstractNum>
  <w:abstractNum w:abstractNumId="1" w15:restartNumberingAfterBreak="0">
    <w:nsid w:val="1DF57B98"/>
    <w:multiLevelType w:val="hybridMultilevel"/>
    <w:tmpl w:val="861A0962"/>
    <w:lvl w:ilvl="0" w:tplc="61CAF33C">
      <w:start w:val="1"/>
      <w:numFmt w:val="decimal"/>
      <w:lvlText w:val="%1."/>
      <w:lvlJc w:val="left"/>
      <w:pPr>
        <w:ind w:left="1830" w:hanging="361"/>
      </w:pPr>
      <w:rPr>
        <w:rFonts w:ascii="Calibri" w:eastAsia="Calibri" w:hAnsi="Calibri" w:cs="Calibri" w:hint="default"/>
        <w:w w:val="100"/>
        <w:sz w:val="22"/>
        <w:szCs w:val="22"/>
        <w:lang w:val="en-US" w:eastAsia="en-US" w:bidi="ar-SA"/>
      </w:rPr>
    </w:lvl>
    <w:lvl w:ilvl="1" w:tplc="E814C418">
      <w:numFmt w:val="bullet"/>
      <w:lvlText w:val="•"/>
      <w:lvlJc w:val="left"/>
      <w:pPr>
        <w:ind w:left="2652" w:hanging="361"/>
      </w:pPr>
      <w:rPr>
        <w:rFonts w:hint="default"/>
        <w:lang w:val="en-US" w:eastAsia="en-US" w:bidi="ar-SA"/>
      </w:rPr>
    </w:lvl>
    <w:lvl w:ilvl="2" w:tplc="5824F3B2">
      <w:numFmt w:val="bullet"/>
      <w:lvlText w:val="•"/>
      <w:lvlJc w:val="left"/>
      <w:pPr>
        <w:ind w:left="3464" w:hanging="361"/>
      </w:pPr>
      <w:rPr>
        <w:rFonts w:hint="default"/>
        <w:lang w:val="en-US" w:eastAsia="en-US" w:bidi="ar-SA"/>
      </w:rPr>
    </w:lvl>
    <w:lvl w:ilvl="3" w:tplc="911452F4">
      <w:numFmt w:val="bullet"/>
      <w:lvlText w:val="•"/>
      <w:lvlJc w:val="left"/>
      <w:pPr>
        <w:ind w:left="4276" w:hanging="361"/>
      </w:pPr>
      <w:rPr>
        <w:rFonts w:hint="default"/>
        <w:lang w:val="en-US" w:eastAsia="en-US" w:bidi="ar-SA"/>
      </w:rPr>
    </w:lvl>
    <w:lvl w:ilvl="4" w:tplc="CBAE8C24">
      <w:numFmt w:val="bullet"/>
      <w:lvlText w:val="•"/>
      <w:lvlJc w:val="left"/>
      <w:pPr>
        <w:ind w:left="5088" w:hanging="361"/>
      </w:pPr>
      <w:rPr>
        <w:rFonts w:hint="default"/>
        <w:lang w:val="en-US" w:eastAsia="en-US" w:bidi="ar-SA"/>
      </w:rPr>
    </w:lvl>
    <w:lvl w:ilvl="5" w:tplc="CC9AEC00">
      <w:numFmt w:val="bullet"/>
      <w:lvlText w:val="•"/>
      <w:lvlJc w:val="left"/>
      <w:pPr>
        <w:ind w:left="5900" w:hanging="361"/>
      </w:pPr>
      <w:rPr>
        <w:rFonts w:hint="default"/>
        <w:lang w:val="en-US" w:eastAsia="en-US" w:bidi="ar-SA"/>
      </w:rPr>
    </w:lvl>
    <w:lvl w:ilvl="6" w:tplc="73E0DD52">
      <w:numFmt w:val="bullet"/>
      <w:lvlText w:val="•"/>
      <w:lvlJc w:val="left"/>
      <w:pPr>
        <w:ind w:left="6712" w:hanging="361"/>
      </w:pPr>
      <w:rPr>
        <w:rFonts w:hint="default"/>
        <w:lang w:val="en-US" w:eastAsia="en-US" w:bidi="ar-SA"/>
      </w:rPr>
    </w:lvl>
    <w:lvl w:ilvl="7" w:tplc="25687940">
      <w:numFmt w:val="bullet"/>
      <w:lvlText w:val="•"/>
      <w:lvlJc w:val="left"/>
      <w:pPr>
        <w:ind w:left="7524" w:hanging="361"/>
      </w:pPr>
      <w:rPr>
        <w:rFonts w:hint="default"/>
        <w:lang w:val="en-US" w:eastAsia="en-US" w:bidi="ar-SA"/>
      </w:rPr>
    </w:lvl>
    <w:lvl w:ilvl="8" w:tplc="F3BE54F0">
      <w:numFmt w:val="bullet"/>
      <w:lvlText w:val="•"/>
      <w:lvlJc w:val="left"/>
      <w:pPr>
        <w:ind w:left="8336" w:hanging="361"/>
      </w:pPr>
      <w:rPr>
        <w:rFonts w:hint="default"/>
        <w:lang w:val="en-US" w:eastAsia="en-US" w:bidi="ar-SA"/>
      </w:rPr>
    </w:lvl>
  </w:abstractNum>
  <w:abstractNum w:abstractNumId="2" w15:restartNumberingAfterBreak="0">
    <w:nsid w:val="4BB8233B"/>
    <w:multiLevelType w:val="hybridMultilevel"/>
    <w:tmpl w:val="8CEC9D0A"/>
    <w:lvl w:ilvl="0" w:tplc="17EE6B50">
      <w:start w:val="1"/>
      <w:numFmt w:val="decimal"/>
      <w:lvlText w:val="%1."/>
      <w:lvlJc w:val="left"/>
      <w:pPr>
        <w:ind w:left="1831" w:hanging="361"/>
      </w:pPr>
      <w:rPr>
        <w:rFonts w:ascii="Calibri" w:eastAsia="Calibri" w:hAnsi="Calibri" w:cs="Calibri" w:hint="default"/>
        <w:w w:val="100"/>
        <w:sz w:val="22"/>
        <w:szCs w:val="22"/>
        <w:lang w:val="en-US" w:eastAsia="en-US" w:bidi="ar-SA"/>
      </w:rPr>
    </w:lvl>
    <w:lvl w:ilvl="1" w:tplc="4034744C">
      <w:numFmt w:val="bullet"/>
      <w:lvlText w:val="•"/>
      <w:lvlJc w:val="left"/>
      <w:pPr>
        <w:ind w:left="2652" w:hanging="361"/>
      </w:pPr>
      <w:rPr>
        <w:rFonts w:hint="default"/>
        <w:lang w:val="en-US" w:eastAsia="en-US" w:bidi="ar-SA"/>
      </w:rPr>
    </w:lvl>
    <w:lvl w:ilvl="2" w:tplc="F0FA2798">
      <w:numFmt w:val="bullet"/>
      <w:lvlText w:val="•"/>
      <w:lvlJc w:val="left"/>
      <w:pPr>
        <w:ind w:left="3464" w:hanging="361"/>
      </w:pPr>
      <w:rPr>
        <w:rFonts w:hint="default"/>
        <w:lang w:val="en-US" w:eastAsia="en-US" w:bidi="ar-SA"/>
      </w:rPr>
    </w:lvl>
    <w:lvl w:ilvl="3" w:tplc="37CC15CA">
      <w:numFmt w:val="bullet"/>
      <w:lvlText w:val="•"/>
      <w:lvlJc w:val="left"/>
      <w:pPr>
        <w:ind w:left="4276" w:hanging="361"/>
      </w:pPr>
      <w:rPr>
        <w:rFonts w:hint="default"/>
        <w:lang w:val="en-US" w:eastAsia="en-US" w:bidi="ar-SA"/>
      </w:rPr>
    </w:lvl>
    <w:lvl w:ilvl="4" w:tplc="4754BE3E">
      <w:numFmt w:val="bullet"/>
      <w:lvlText w:val="•"/>
      <w:lvlJc w:val="left"/>
      <w:pPr>
        <w:ind w:left="5088" w:hanging="361"/>
      </w:pPr>
      <w:rPr>
        <w:rFonts w:hint="default"/>
        <w:lang w:val="en-US" w:eastAsia="en-US" w:bidi="ar-SA"/>
      </w:rPr>
    </w:lvl>
    <w:lvl w:ilvl="5" w:tplc="DDBC2E62">
      <w:numFmt w:val="bullet"/>
      <w:lvlText w:val="•"/>
      <w:lvlJc w:val="left"/>
      <w:pPr>
        <w:ind w:left="5900" w:hanging="361"/>
      </w:pPr>
      <w:rPr>
        <w:rFonts w:hint="default"/>
        <w:lang w:val="en-US" w:eastAsia="en-US" w:bidi="ar-SA"/>
      </w:rPr>
    </w:lvl>
    <w:lvl w:ilvl="6" w:tplc="B4220AC8">
      <w:numFmt w:val="bullet"/>
      <w:lvlText w:val="•"/>
      <w:lvlJc w:val="left"/>
      <w:pPr>
        <w:ind w:left="6712" w:hanging="361"/>
      </w:pPr>
      <w:rPr>
        <w:rFonts w:hint="default"/>
        <w:lang w:val="en-US" w:eastAsia="en-US" w:bidi="ar-SA"/>
      </w:rPr>
    </w:lvl>
    <w:lvl w:ilvl="7" w:tplc="F2648628">
      <w:numFmt w:val="bullet"/>
      <w:lvlText w:val="•"/>
      <w:lvlJc w:val="left"/>
      <w:pPr>
        <w:ind w:left="7524" w:hanging="361"/>
      </w:pPr>
      <w:rPr>
        <w:rFonts w:hint="default"/>
        <w:lang w:val="en-US" w:eastAsia="en-US" w:bidi="ar-SA"/>
      </w:rPr>
    </w:lvl>
    <w:lvl w:ilvl="8" w:tplc="0EB8E6BA">
      <w:numFmt w:val="bullet"/>
      <w:lvlText w:val="•"/>
      <w:lvlJc w:val="left"/>
      <w:pPr>
        <w:ind w:left="8336" w:hanging="361"/>
      </w:pPr>
      <w:rPr>
        <w:rFonts w:hint="default"/>
        <w:lang w:val="en-US" w:eastAsia="en-US" w:bidi="ar-SA"/>
      </w:rPr>
    </w:lvl>
  </w:abstractNum>
  <w:abstractNum w:abstractNumId="3" w15:restartNumberingAfterBreak="0">
    <w:nsid w:val="63840C63"/>
    <w:multiLevelType w:val="hybridMultilevel"/>
    <w:tmpl w:val="B47C8F6E"/>
    <w:lvl w:ilvl="0" w:tplc="165AEC18">
      <w:start w:val="1"/>
      <w:numFmt w:val="upperLetter"/>
      <w:lvlText w:val="%1."/>
      <w:lvlJc w:val="left"/>
      <w:pPr>
        <w:ind w:left="940" w:hanging="723"/>
      </w:pPr>
      <w:rPr>
        <w:rFonts w:ascii="Calibri" w:eastAsia="Calibri" w:hAnsi="Calibri" w:cs="Calibri" w:hint="default"/>
        <w:b/>
        <w:bCs/>
        <w:w w:val="100"/>
        <w:sz w:val="22"/>
        <w:szCs w:val="22"/>
        <w:lang w:val="en-US" w:eastAsia="en-US" w:bidi="ar-SA"/>
      </w:rPr>
    </w:lvl>
    <w:lvl w:ilvl="1" w:tplc="072A16D0">
      <w:start w:val="1"/>
      <w:numFmt w:val="decimal"/>
      <w:lvlText w:val="%2."/>
      <w:lvlJc w:val="left"/>
      <w:pPr>
        <w:ind w:left="940" w:hanging="721"/>
      </w:pPr>
      <w:rPr>
        <w:rFonts w:ascii="Calibri" w:eastAsia="Calibri" w:hAnsi="Calibri" w:cs="Calibri" w:hint="default"/>
        <w:w w:val="100"/>
        <w:sz w:val="22"/>
        <w:szCs w:val="22"/>
        <w:lang w:val="en-US" w:eastAsia="en-US" w:bidi="ar-SA"/>
      </w:rPr>
    </w:lvl>
    <w:lvl w:ilvl="2" w:tplc="6DF85220">
      <w:start w:val="1"/>
      <w:numFmt w:val="lowerLetter"/>
      <w:lvlText w:val="(%3)"/>
      <w:lvlJc w:val="left"/>
      <w:pPr>
        <w:ind w:left="1660" w:hanging="723"/>
      </w:pPr>
      <w:rPr>
        <w:rFonts w:ascii="Calibri" w:eastAsia="Calibri" w:hAnsi="Calibri" w:cs="Calibri" w:hint="default"/>
        <w:spacing w:val="-3"/>
        <w:w w:val="100"/>
        <w:sz w:val="22"/>
        <w:szCs w:val="22"/>
        <w:lang w:val="en-US" w:eastAsia="en-US" w:bidi="ar-SA"/>
      </w:rPr>
    </w:lvl>
    <w:lvl w:ilvl="3" w:tplc="2702D860">
      <w:start w:val="1"/>
      <w:numFmt w:val="lowerRoman"/>
      <w:lvlText w:val="(%4)"/>
      <w:lvlJc w:val="left"/>
      <w:pPr>
        <w:ind w:left="2380" w:hanging="723"/>
      </w:pPr>
      <w:rPr>
        <w:rFonts w:ascii="Calibri" w:eastAsia="Calibri" w:hAnsi="Calibri" w:cs="Calibri" w:hint="default"/>
        <w:spacing w:val="-3"/>
        <w:w w:val="100"/>
        <w:sz w:val="22"/>
        <w:szCs w:val="22"/>
        <w:lang w:val="en-US" w:eastAsia="en-US" w:bidi="ar-SA"/>
      </w:rPr>
    </w:lvl>
    <w:lvl w:ilvl="4" w:tplc="97542010">
      <w:numFmt w:val="bullet"/>
      <w:lvlText w:val="•"/>
      <w:lvlJc w:val="left"/>
      <w:pPr>
        <w:ind w:left="3462" w:hanging="723"/>
      </w:pPr>
      <w:rPr>
        <w:rFonts w:hint="default"/>
        <w:lang w:val="en-US" w:eastAsia="en-US" w:bidi="ar-SA"/>
      </w:rPr>
    </w:lvl>
    <w:lvl w:ilvl="5" w:tplc="55C26BAE">
      <w:numFmt w:val="bullet"/>
      <w:lvlText w:val="•"/>
      <w:lvlJc w:val="left"/>
      <w:pPr>
        <w:ind w:left="4545" w:hanging="723"/>
      </w:pPr>
      <w:rPr>
        <w:rFonts w:hint="default"/>
        <w:lang w:val="en-US" w:eastAsia="en-US" w:bidi="ar-SA"/>
      </w:rPr>
    </w:lvl>
    <w:lvl w:ilvl="6" w:tplc="5AD0668C">
      <w:numFmt w:val="bullet"/>
      <w:lvlText w:val="•"/>
      <w:lvlJc w:val="left"/>
      <w:pPr>
        <w:ind w:left="5628" w:hanging="723"/>
      </w:pPr>
      <w:rPr>
        <w:rFonts w:hint="default"/>
        <w:lang w:val="en-US" w:eastAsia="en-US" w:bidi="ar-SA"/>
      </w:rPr>
    </w:lvl>
    <w:lvl w:ilvl="7" w:tplc="7B889FF2">
      <w:numFmt w:val="bullet"/>
      <w:lvlText w:val="•"/>
      <w:lvlJc w:val="left"/>
      <w:pPr>
        <w:ind w:left="6711" w:hanging="723"/>
      </w:pPr>
      <w:rPr>
        <w:rFonts w:hint="default"/>
        <w:lang w:val="en-US" w:eastAsia="en-US" w:bidi="ar-SA"/>
      </w:rPr>
    </w:lvl>
    <w:lvl w:ilvl="8" w:tplc="B68A704C">
      <w:numFmt w:val="bullet"/>
      <w:lvlText w:val="•"/>
      <w:lvlJc w:val="left"/>
      <w:pPr>
        <w:ind w:left="7794" w:hanging="723"/>
      </w:pPr>
      <w:rPr>
        <w:rFonts w:hint="default"/>
        <w:lang w:val="en-US" w:eastAsia="en-US" w:bidi="ar-SA"/>
      </w:rPr>
    </w:lvl>
  </w:abstractNum>
  <w:abstractNum w:abstractNumId="4" w15:restartNumberingAfterBreak="0">
    <w:nsid w:val="79BA30A8"/>
    <w:multiLevelType w:val="hybridMultilevel"/>
    <w:tmpl w:val="BB88E248"/>
    <w:lvl w:ilvl="0" w:tplc="83781D64">
      <w:start w:val="1"/>
      <w:numFmt w:val="decimal"/>
      <w:lvlText w:val="%1."/>
      <w:lvlJc w:val="left"/>
      <w:pPr>
        <w:ind w:left="1830" w:hanging="361"/>
      </w:pPr>
      <w:rPr>
        <w:rFonts w:ascii="Calibri" w:eastAsia="Calibri" w:hAnsi="Calibri" w:cs="Calibri" w:hint="default"/>
        <w:w w:val="100"/>
        <w:sz w:val="22"/>
        <w:szCs w:val="22"/>
        <w:lang w:val="en-US" w:eastAsia="en-US" w:bidi="ar-SA"/>
      </w:rPr>
    </w:lvl>
    <w:lvl w:ilvl="1" w:tplc="0688D1A2">
      <w:numFmt w:val="bullet"/>
      <w:lvlText w:val="•"/>
      <w:lvlJc w:val="left"/>
      <w:pPr>
        <w:ind w:left="2652" w:hanging="361"/>
      </w:pPr>
      <w:rPr>
        <w:rFonts w:hint="default"/>
        <w:lang w:val="en-US" w:eastAsia="en-US" w:bidi="ar-SA"/>
      </w:rPr>
    </w:lvl>
    <w:lvl w:ilvl="2" w:tplc="EE0E3050">
      <w:numFmt w:val="bullet"/>
      <w:lvlText w:val="•"/>
      <w:lvlJc w:val="left"/>
      <w:pPr>
        <w:ind w:left="3464" w:hanging="361"/>
      </w:pPr>
      <w:rPr>
        <w:rFonts w:hint="default"/>
        <w:lang w:val="en-US" w:eastAsia="en-US" w:bidi="ar-SA"/>
      </w:rPr>
    </w:lvl>
    <w:lvl w:ilvl="3" w:tplc="CE5A08CC">
      <w:numFmt w:val="bullet"/>
      <w:lvlText w:val="•"/>
      <w:lvlJc w:val="left"/>
      <w:pPr>
        <w:ind w:left="4276" w:hanging="361"/>
      </w:pPr>
      <w:rPr>
        <w:rFonts w:hint="default"/>
        <w:lang w:val="en-US" w:eastAsia="en-US" w:bidi="ar-SA"/>
      </w:rPr>
    </w:lvl>
    <w:lvl w:ilvl="4" w:tplc="D14AC306">
      <w:numFmt w:val="bullet"/>
      <w:lvlText w:val="•"/>
      <w:lvlJc w:val="left"/>
      <w:pPr>
        <w:ind w:left="5088" w:hanging="361"/>
      </w:pPr>
      <w:rPr>
        <w:rFonts w:hint="default"/>
        <w:lang w:val="en-US" w:eastAsia="en-US" w:bidi="ar-SA"/>
      </w:rPr>
    </w:lvl>
    <w:lvl w:ilvl="5" w:tplc="5FE672AC">
      <w:numFmt w:val="bullet"/>
      <w:lvlText w:val="•"/>
      <w:lvlJc w:val="left"/>
      <w:pPr>
        <w:ind w:left="5900" w:hanging="361"/>
      </w:pPr>
      <w:rPr>
        <w:rFonts w:hint="default"/>
        <w:lang w:val="en-US" w:eastAsia="en-US" w:bidi="ar-SA"/>
      </w:rPr>
    </w:lvl>
    <w:lvl w:ilvl="6" w:tplc="BC1C0CC4">
      <w:numFmt w:val="bullet"/>
      <w:lvlText w:val="•"/>
      <w:lvlJc w:val="left"/>
      <w:pPr>
        <w:ind w:left="6712" w:hanging="361"/>
      </w:pPr>
      <w:rPr>
        <w:rFonts w:hint="default"/>
        <w:lang w:val="en-US" w:eastAsia="en-US" w:bidi="ar-SA"/>
      </w:rPr>
    </w:lvl>
    <w:lvl w:ilvl="7" w:tplc="101A0DC4">
      <w:numFmt w:val="bullet"/>
      <w:lvlText w:val="•"/>
      <w:lvlJc w:val="left"/>
      <w:pPr>
        <w:ind w:left="7524" w:hanging="361"/>
      </w:pPr>
      <w:rPr>
        <w:rFonts w:hint="default"/>
        <w:lang w:val="en-US" w:eastAsia="en-US" w:bidi="ar-SA"/>
      </w:rPr>
    </w:lvl>
    <w:lvl w:ilvl="8" w:tplc="98AEB768">
      <w:numFmt w:val="bullet"/>
      <w:lvlText w:val="•"/>
      <w:lvlJc w:val="left"/>
      <w:pPr>
        <w:ind w:left="8336" w:hanging="361"/>
      </w:pPr>
      <w:rPr>
        <w:rFonts w:hint="default"/>
        <w:lang w:val="en-US" w:eastAsia="en-US" w:bidi="ar-SA"/>
      </w:rPr>
    </w:lvl>
  </w:abstractNum>
  <w:abstractNum w:abstractNumId="5" w15:restartNumberingAfterBreak="0">
    <w:nsid w:val="7DCC5629"/>
    <w:multiLevelType w:val="hybridMultilevel"/>
    <w:tmpl w:val="791EEA58"/>
    <w:lvl w:ilvl="0" w:tplc="D6425B62">
      <w:start w:val="1"/>
      <w:numFmt w:val="decimal"/>
      <w:lvlText w:val="%1."/>
      <w:lvlJc w:val="left"/>
      <w:pPr>
        <w:ind w:left="1830" w:hanging="361"/>
      </w:pPr>
      <w:rPr>
        <w:rFonts w:ascii="Calibri" w:eastAsia="Calibri" w:hAnsi="Calibri" w:cs="Calibri" w:hint="default"/>
        <w:w w:val="100"/>
        <w:sz w:val="22"/>
        <w:szCs w:val="22"/>
        <w:lang w:val="en-US" w:eastAsia="en-US" w:bidi="ar-SA"/>
      </w:rPr>
    </w:lvl>
    <w:lvl w:ilvl="1" w:tplc="5266A560">
      <w:numFmt w:val="bullet"/>
      <w:lvlText w:val="•"/>
      <w:lvlJc w:val="left"/>
      <w:pPr>
        <w:ind w:left="2652" w:hanging="361"/>
      </w:pPr>
      <w:rPr>
        <w:rFonts w:hint="default"/>
        <w:lang w:val="en-US" w:eastAsia="en-US" w:bidi="ar-SA"/>
      </w:rPr>
    </w:lvl>
    <w:lvl w:ilvl="2" w:tplc="BDDE90D2">
      <w:numFmt w:val="bullet"/>
      <w:lvlText w:val="•"/>
      <w:lvlJc w:val="left"/>
      <w:pPr>
        <w:ind w:left="3464" w:hanging="361"/>
      </w:pPr>
      <w:rPr>
        <w:rFonts w:hint="default"/>
        <w:lang w:val="en-US" w:eastAsia="en-US" w:bidi="ar-SA"/>
      </w:rPr>
    </w:lvl>
    <w:lvl w:ilvl="3" w:tplc="3F7859FC">
      <w:numFmt w:val="bullet"/>
      <w:lvlText w:val="•"/>
      <w:lvlJc w:val="left"/>
      <w:pPr>
        <w:ind w:left="4276" w:hanging="361"/>
      </w:pPr>
      <w:rPr>
        <w:rFonts w:hint="default"/>
        <w:lang w:val="en-US" w:eastAsia="en-US" w:bidi="ar-SA"/>
      </w:rPr>
    </w:lvl>
    <w:lvl w:ilvl="4" w:tplc="9C5E4F7A">
      <w:numFmt w:val="bullet"/>
      <w:lvlText w:val="•"/>
      <w:lvlJc w:val="left"/>
      <w:pPr>
        <w:ind w:left="5088" w:hanging="361"/>
      </w:pPr>
      <w:rPr>
        <w:rFonts w:hint="default"/>
        <w:lang w:val="en-US" w:eastAsia="en-US" w:bidi="ar-SA"/>
      </w:rPr>
    </w:lvl>
    <w:lvl w:ilvl="5" w:tplc="6710309A">
      <w:numFmt w:val="bullet"/>
      <w:lvlText w:val="•"/>
      <w:lvlJc w:val="left"/>
      <w:pPr>
        <w:ind w:left="5900" w:hanging="361"/>
      </w:pPr>
      <w:rPr>
        <w:rFonts w:hint="default"/>
        <w:lang w:val="en-US" w:eastAsia="en-US" w:bidi="ar-SA"/>
      </w:rPr>
    </w:lvl>
    <w:lvl w:ilvl="6" w:tplc="0616DF5E">
      <w:numFmt w:val="bullet"/>
      <w:lvlText w:val="•"/>
      <w:lvlJc w:val="left"/>
      <w:pPr>
        <w:ind w:left="6712" w:hanging="361"/>
      </w:pPr>
      <w:rPr>
        <w:rFonts w:hint="default"/>
        <w:lang w:val="en-US" w:eastAsia="en-US" w:bidi="ar-SA"/>
      </w:rPr>
    </w:lvl>
    <w:lvl w:ilvl="7" w:tplc="AA4EF0B0">
      <w:numFmt w:val="bullet"/>
      <w:lvlText w:val="•"/>
      <w:lvlJc w:val="left"/>
      <w:pPr>
        <w:ind w:left="7524" w:hanging="361"/>
      </w:pPr>
      <w:rPr>
        <w:rFonts w:hint="default"/>
        <w:lang w:val="en-US" w:eastAsia="en-US" w:bidi="ar-SA"/>
      </w:rPr>
    </w:lvl>
    <w:lvl w:ilvl="8" w:tplc="1A94F8E0">
      <w:numFmt w:val="bullet"/>
      <w:lvlText w:val="•"/>
      <w:lvlJc w:val="left"/>
      <w:pPr>
        <w:ind w:left="8336" w:hanging="361"/>
      </w:pPr>
      <w:rPr>
        <w:rFonts w:hint="default"/>
        <w:lang w:val="en-US" w:eastAsia="en-US" w:bidi="ar-SA"/>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AD"/>
    <w:rsid w:val="0010572D"/>
    <w:rsid w:val="00180794"/>
    <w:rsid w:val="002B7D5E"/>
    <w:rsid w:val="003B5A55"/>
    <w:rsid w:val="004A0A47"/>
    <w:rsid w:val="004B0F2C"/>
    <w:rsid w:val="006E54ED"/>
    <w:rsid w:val="00887551"/>
    <w:rsid w:val="008E202E"/>
    <w:rsid w:val="009B65DD"/>
    <w:rsid w:val="00F8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EC1FB"/>
  <w15:docId w15:val="{88EB510E-F1BC-4BD3-B67D-4588417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10"/>
      <w:outlineLvl w:val="0"/>
    </w:pPr>
    <w:rPr>
      <w:b/>
      <w:bCs/>
    </w:rPr>
  </w:style>
  <w:style w:type="paragraph" w:styleId="Heading2">
    <w:name w:val="heading 2"/>
    <w:basedOn w:val="Normal"/>
    <w:next w:val="Normal"/>
    <w:link w:val="Heading2Char"/>
    <w:uiPriority w:val="9"/>
    <w:semiHidden/>
    <w:unhideWhenUsed/>
    <w:qFormat/>
    <w:rsid w:val="008875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30" w:hanging="361"/>
    </w:pPr>
  </w:style>
  <w:style w:type="paragraph" w:customStyle="1" w:styleId="TableParagraph">
    <w:name w:val="Table Paragraph"/>
    <w:basedOn w:val="Normal"/>
    <w:uiPriority w:val="1"/>
    <w:qFormat/>
    <w:pPr>
      <w:ind w:left="76"/>
    </w:pPr>
  </w:style>
  <w:style w:type="character" w:customStyle="1" w:styleId="Heading2Char">
    <w:name w:val="Heading 2 Char"/>
    <w:basedOn w:val="DefaultParagraphFont"/>
    <w:link w:val="Heading2"/>
    <w:uiPriority w:val="9"/>
    <w:semiHidden/>
    <w:rsid w:val="0088755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B7D5E"/>
    <w:rPr>
      <w:color w:val="0000FF" w:themeColor="hyperlink"/>
      <w:u w:val="single"/>
    </w:rPr>
  </w:style>
  <w:style w:type="character" w:styleId="UnresolvedMention">
    <w:name w:val="Unresolved Mention"/>
    <w:basedOn w:val="DefaultParagraphFont"/>
    <w:uiPriority w:val="99"/>
    <w:semiHidden/>
    <w:unhideWhenUsed/>
    <w:rsid w:val="002B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113823">
      <w:bodyDiv w:val="1"/>
      <w:marLeft w:val="0"/>
      <w:marRight w:val="0"/>
      <w:marTop w:val="0"/>
      <w:marBottom w:val="0"/>
      <w:divBdr>
        <w:top w:val="none" w:sz="0" w:space="0" w:color="auto"/>
        <w:left w:val="none" w:sz="0" w:space="0" w:color="auto"/>
        <w:bottom w:val="none" w:sz="0" w:space="0" w:color="auto"/>
        <w:right w:val="none" w:sz="0" w:space="0" w:color="auto"/>
      </w:divBdr>
      <w:divsChild>
        <w:div w:id="1405758540">
          <w:marLeft w:val="0"/>
          <w:marRight w:val="0"/>
          <w:marTop w:val="100"/>
          <w:marBottom w:val="0"/>
          <w:divBdr>
            <w:top w:val="none" w:sz="0" w:space="0" w:color="auto"/>
            <w:left w:val="none" w:sz="0" w:space="0" w:color="auto"/>
            <w:bottom w:val="none" w:sz="0" w:space="0" w:color="auto"/>
            <w:right w:val="none" w:sz="0" w:space="0" w:color="auto"/>
          </w:divBdr>
          <w:divsChild>
            <w:div w:id="1787002454">
              <w:marLeft w:val="0"/>
              <w:marRight w:val="0"/>
              <w:marTop w:val="60"/>
              <w:marBottom w:val="0"/>
              <w:divBdr>
                <w:top w:val="none" w:sz="0" w:space="0" w:color="auto"/>
                <w:left w:val="none" w:sz="0" w:space="0" w:color="auto"/>
                <w:bottom w:val="none" w:sz="0" w:space="0" w:color="auto"/>
                <w:right w:val="none" w:sz="0" w:space="0" w:color="auto"/>
              </w:divBdr>
            </w:div>
          </w:divsChild>
        </w:div>
        <w:div w:id="1131677052">
          <w:marLeft w:val="0"/>
          <w:marRight w:val="0"/>
          <w:marTop w:val="0"/>
          <w:marBottom w:val="0"/>
          <w:divBdr>
            <w:top w:val="none" w:sz="0" w:space="0" w:color="auto"/>
            <w:left w:val="none" w:sz="0" w:space="0" w:color="auto"/>
            <w:bottom w:val="none" w:sz="0" w:space="0" w:color="auto"/>
            <w:right w:val="none" w:sz="0" w:space="0" w:color="auto"/>
          </w:divBdr>
          <w:divsChild>
            <w:div w:id="971980859">
              <w:marLeft w:val="0"/>
              <w:marRight w:val="0"/>
              <w:marTop w:val="0"/>
              <w:marBottom w:val="0"/>
              <w:divBdr>
                <w:top w:val="none" w:sz="0" w:space="0" w:color="auto"/>
                <w:left w:val="none" w:sz="0" w:space="0" w:color="auto"/>
                <w:bottom w:val="none" w:sz="0" w:space="0" w:color="auto"/>
                <w:right w:val="none" w:sz="0" w:space="0" w:color="auto"/>
              </w:divBdr>
              <w:divsChild>
                <w:div w:id="270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lurion.com/quality-risk-informati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plaints@Allurion.com." TargetMode="External"/><Relationship Id="rId4" Type="http://schemas.openxmlformats.org/officeDocument/2006/relationships/webSettings" Target="webSettings.xml"/><Relationship Id="rId9" Type="http://schemas.openxmlformats.org/officeDocument/2006/relationships/hyperlink" Target="mailto:complaints@Allur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Chan_Carole</dc:creator>
  <cp:lastModifiedBy>Natalie King</cp:lastModifiedBy>
  <cp:revision>2</cp:revision>
  <dcterms:created xsi:type="dcterms:W3CDTF">2021-11-16T13:12:00Z</dcterms:created>
  <dcterms:modified xsi:type="dcterms:W3CDTF">2021-11-16T13:12:00Z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Acrobat PDFMaker 20 pour Word</vt:lpwstr>
  </property>
  <property fmtid="{D5CDD505-2E9C-101B-9397-08002B2CF9AE}" pid="4" name="LastSaved">
    <vt:filetime>2021-10-18T00:00:00Z</vt:filetime>
  </property>
</Properties>
</file>